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0" w:firstLineChars="200"/>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石家庄市鹿泉区文化广电体育和旅游局</w:t>
      </w:r>
    </w:p>
    <w:p>
      <w:pPr>
        <w:ind w:firstLine="880" w:firstLineChars="20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2019年部门预算信息公开情况说明</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按照《预算法》、《地方预决算公开操作规程》和《河北省省级预算公开办法》规定，现将河北省财政厅2019年部门预算公开如下：</w:t>
      </w:r>
    </w:p>
    <w:p>
      <w:pPr>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一、部门职责、机构设置等基本情况</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kern w:val="0"/>
          <w:sz w:val="32"/>
          <w:szCs w:val="32"/>
        </w:rPr>
        <w:t>（一）部门职责</w:t>
      </w:r>
    </w:p>
    <w:p>
      <w:pPr>
        <w:keepNext w:val="0"/>
        <w:keepLines w:val="0"/>
        <w:pageBreakBefore w:val="0"/>
        <w:widowControl w:val="0"/>
        <w:kinsoku/>
        <w:wordWrap/>
        <w:overflowPunct/>
        <w:topLinePunct w:val="0"/>
        <w:autoSpaceDE/>
        <w:autoSpaceDN/>
        <w:bidi w:val="0"/>
        <w:snapToGrid/>
        <w:spacing w:line="578"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（一）贯彻执行党和国家文化、广播电视、网络视听节目</w:t>
      </w:r>
      <w:r>
        <w:rPr>
          <w:rFonts w:hint="eastAsia" w:ascii="仿宋_GB2312" w:hAnsi="仿宋_GB2312" w:eastAsia="仿宋_GB2312" w:cs="仿宋_GB2312"/>
          <w:sz w:val="32"/>
          <w:szCs w:val="32"/>
          <w:lang w:eastAsia="zh-CN"/>
        </w:rPr>
        <w:t>服务管理</w:t>
      </w:r>
      <w:r>
        <w:rPr>
          <w:rFonts w:hint="eastAsia" w:ascii="仿宋_GB2312" w:hAnsi="仿宋_GB2312" w:eastAsia="仿宋_GB2312" w:cs="仿宋_GB2312"/>
          <w:sz w:val="32"/>
          <w:szCs w:val="32"/>
        </w:rPr>
        <w:t>、体育和旅游工作方针政策和法律法规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研究拟订全区文化、广播电视、体育和旅游政策措施</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napToGrid/>
        <w:spacing w:line="578"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（二）拟订全区</w:t>
      </w:r>
      <w:r>
        <w:rPr>
          <w:rFonts w:hint="eastAsia" w:ascii="仿宋_GB2312" w:hAnsi="仿宋_GB2312" w:eastAsia="仿宋_GB2312" w:cs="仿宋_GB2312"/>
          <w:sz w:val="32"/>
          <w:szCs w:val="32"/>
          <w:lang w:eastAsia="zh-CN"/>
        </w:rPr>
        <w:t>文化事业、</w:t>
      </w:r>
      <w:r>
        <w:rPr>
          <w:rFonts w:hint="eastAsia" w:ascii="仿宋_GB2312" w:hAnsi="仿宋_GB2312" w:eastAsia="仿宋_GB2312" w:cs="仿宋_GB2312"/>
          <w:sz w:val="32"/>
          <w:szCs w:val="32"/>
        </w:rPr>
        <w:t>文化产业、广播电视</w:t>
      </w:r>
      <w:r>
        <w:rPr>
          <w:rFonts w:hint="eastAsia" w:ascii="仿宋_GB2312" w:hAnsi="仿宋_GB2312" w:eastAsia="仿宋_GB2312" w:cs="仿宋_GB2312"/>
          <w:sz w:val="32"/>
          <w:szCs w:val="32"/>
          <w:lang w:eastAsia="zh-CN"/>
        </w:rPr>
        <w:t>领域</w:t>
      </w:r>
      <w:r>
        <w:rPr>
          <w:rFonts w:hint="eastAsia" w:ascii="仿宋_GB2312" w:hAnsi="仿宋_GB2312" w:eastAsia="仿宋_GB2312" w:cs="仿宋_GB2312"/>
          <w:sz w:val="32"/>
          <w:szCs w:val="32"/>
        </w:rPr>
        <w:t>、体育业和旅游业发展规划并组织实施，推进文化、广播电视、体育和旅游融合发展，推进文化、广播电视、体育和旅游体制机制改革</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napToGrid/>
        <w:spacing w:line="578"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（三）管理</w:t>
      </w:r>
      <w:r>
        <w:rPr>
          <w:rFonts w:hint="eastAsia" w:ascii="仿宋_GB2312" w:hAnsi="仿宋_GB2312" w:eastAsia="仿宋_GB2312" w:cs="仿宋_GB2312"/>
          <w:sz w:val="32"/>
          <w:szCs w:val="32"/>
          <w:lang w:eastAsia="zh-CN"/>
        </w:rPr>
        <w:t>和组织</w:t>
      </w:r>
      <w:r>
        <w:rPr>
          <w:rFonts w:hint="eastAsia" w:ascii="仿宋_GB2312" w:hAnsi="仿宋_GB2312" w:eastAsia="仿宋_GB2312" w:cs="仿宋_GB2312"/>
          <w:sz w:val="32"/>
          <w:szCs w:val="32"/>
        </w:rPr>
        <w:t>全区</w:t>
      </w:r>
      <w:r>
        <w:rPr>
          <w:rFonts w:hint="eastAsia" w:ascii="仿宋_GB2312" w:hAnsi="仿宋_GB2312" w:eastAsia="仿宋_GB2312" w:cs="仿宋_GB2312"/>
          <w:sz w:val="32"/>
          <w:szCs w:val="32"/>
          <w:lang w:eastAsia="zh-CN"/>
        </w:rPr>
        <w:t>性</w:t>
      </w:r>
      <w:r>
        <w:rPr>
          <w:rFonts w:hint="eastAsia" w:ascii="仿宋_GB2312" w:hAnsi="仿宋_GB2312" w:eastAsia="仿宋_GB2312" w:cs="仿宋_GB2312"/>
          <w:sz w:val="32"/>
          <w:szCs w:val="32"/>
        </w:rPr>
        <w:t>重大文化和旅游活动，组织实施全区广播电视公共服务</w:t>
      </w:r>
      <w:r>
        <w:rPr>
          <w:rFonts w:hint="eastAsia" w:ascii="仿宋_GB2312" w:hAnsi="仿宋_GB2312" w:eastAsia="仿宋_GB2312" w:cs="仿宋_GB2312"/>
          <w:sz w:val="32"/>
          <w:szCs w:val="32"/>
          <w:lang w:eastAsia="zh-CN"/>
        </w:rPr>
        <w:t>重大公益工程和</w:t>
      </w:r>
      <w:r>
        <w:rPr>
          <w:rFonts w:hint="eastAsia" w:ascii="仿宋_GB2312" w:hAnsi="仿宋_GB2312" w:eastAsia="仿宋_GB2312" w:cs="仿宋_GB2312"/>
          <w:sz w:val="32"/>
          <w:szCs w:val="32"/>
        </w:rPr>
        <w:t>公益活动。监管全区</w:t>
      </w:r>
      <w:r>
        <w:rPr>
          <w:rFonts w:hint="eastAsia" w:ascii="仿宋_GB2312" w:hAnsi="仿宋_GB2312" w:eastAsia="仿宋_GB2312" w:cs="仿宋_GB2312"/>
          <w:sz w:val="32"/>
          <w:szCs w:val="32"/>
          <w:lang w:eastAsia="zh-CN"/>
        </w:rPr>
        <w:t>重点</w:t>
      </w:r>
      <w:r>
        <w:rPr>
          <w:rFonts w:hint="eastAsia" w:ascii="仿宋_GB2312" w:hAnsi="仿宋_GB2312" w:eastAsia="仿宋_GB2312" w:cs="仿宋_GB2312"/>
          <w:sz w:val="32"/>
          <w:szCs w:val="32"/>
        </w:rPr>
        <w:t>文化</w:t>
      </w:r>
      <w:r>
        <w:rPr>
          <w:rFonts w:hint="eastAsia" w:ascii="仿宋_GB2312" w:hAnsi="仿宋_GB2312" w:eastAsia="仿宋_GB2312" w:cs="仿宋_GB2312"/>
          <w:sz w:val="32"/>
          <w:szCs w:val="32"/>
          <w:lang w:eastAsia="zh-CN"/>
        </w:rPr>
        <w:t>、体育和旅游</w:t>
      </w:r>
      <w:r>
        <w:rPr>
          <w:rFonts w:hint="eastAsia" w:ascii="仿宋_GB2312" w:hAnsi="仿宋_GB2312" w:eastAsia="仿宋_GB2312" w:cs="仿宋_GB2312"/>
          <w:sz w:val="32"/>
          <w:szCs w:val="32"/>
        </w:rPr>
        <w:t>设施建设，组织鹿泉文化、体育和旅游整体形象推广，促进文化产业、体育产业和旅游产业对外合作和国际市场推广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负责</w:t>
      </w:r>
      <w:r>
        <w:rPr>
          <w:rFonts w:hint="eastAsia" w:ascii="仿宋_GB2312" w:hAnsi="仿宋_GB2312" w:eastAsia="仿宋_GB2312" w:cs="仿宋_GB2312"/>
          <w:sz w:val="32"/>
          <w:szCs w:val="32"/>
        </w:rPr>
        <w:t>组织推进全域旅游</w:t>
      </w:r>
      <w:r>
        <w:rPr>
          <w:rFonts w:hint="eastAsia" w:ascii="仿宋_GB2312" w:hAnsi="仿宋_GB2312" w:eastAsia="仿宋_GB2312" w:cs="仿宋_GB2312"/>
          <w:sz w:val="32"/>
          <w:szCs w:val="32"/>
          <w:lang w:val="en-US" w:eastAsia="zh-CN"/>
        </w:rPr>
        <w:t>工作</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napToGrid/>
        <w:spacing w:line="578"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（四）指导、管理全区文艺事业。指导艺术创作生产，推动全区各门类艺术、各艺术品种发展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指导全区电视剧行业发展和</w:t>
      </w:r>
      <w:r>
        <w:rPr>
          <w:rFonts w:hint="eastAsia" w:ascii="仿宋_GB2312" w:hAnsi="仿宋_GB2312" w:eastAsia="仿宋_GB2312" w:cs="仿宋_GB2312"/>
          <w:sz w:val="32"/>
          <w:szCs w:val="32"/>
          <w:lang w:eastAsia="zh-CN"/>
        </w:rPr>
        <w:t>电视剧</w:t>
      </w:r>
      <w:r>
        <w:rPr>
          <w:rFonts w:hint="eastAsia" w:ascii="仿宋_GB2312" w:hAnsi="仿宋_GB2312" w:eastAsia="仿宋_GB2312" w:cs="仿宋_GB2312"/>
          <w:sz w:val="32"/>
          <w:szCs w:val="32"/>
        </w:rPr>
        <w:t>创作生产</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napToGrid/>
        <w:spacing w:line="578"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（五）负责全区公共文化、广播电视、体育和旅游事业发展。推动全区文化、广播电视和旅游公共服务体系建设，</w:t>
      </w:r>
      <w:r>
        <w:rPr>
          <w:rFonts w:hint="eastAsia" w:ascii="仿宋_GB2312" w:hAnsi="仿宋_GB2312" w:eastAsia="仿宋_GB2312" w:cs="仿宋_GB2312"/>
          <w:sz w:val="32"/>
          <w:szCs w:val="32"/>
          <w:lang w:eastAsia="zh-CN"/>
        </w:rPr>
        <w:t>协调区域性体育服务体系，推动多元化体育服务体系建设，</w:t>
      </w:r>
      <w:r>
        <w:rPr>
          <w:rFonts w:hint="eastAsia" w:ascii="仿宋_GB2312" w:hAnsi="仿宋_GB2312" w:eastAsia="仿宋_GB2312" w:cs="仿宋_GB2312"/>
          <w:sz w:val="32"/>
          <w:szCs w:val="32"/>
        </w:rPr>
        <w:t>深入实施文化惠民工程，统筹推进全区文化、广播电视、体育和旅游服务标准化、均等化</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napToGrid/>
        <w:spacing w:line="578"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（六）推进全区文化、广播电视、体育和旅游科技创新发展，推进文化和旅游行业信息化、标准化建设；负责对</w:t>
      </w:r>
      <w:r>
        <w:rPr>
          <w:rFonts w:hint="eastAsia" w:ascii="仿宋_GB2312" w:hAnsi="仿宋_GB2312" w:eastAsia="仿宋_GB2312" w:cs="仿宋_GB2312"/>
          <w:sz w:val="32"/>
          <w:szCs w:val="32"/>
          <w:lang w:eastAsia="zh-CN"/>
        </w:rPr>
        <w:t>全区</w:t>
      </w:r>
      <w:r>
        <w:rPr>
          <w:rFonts w:hint="eastAsia" w:ascii="仿宋_GB2312" w:hAnsi="仿宋_GB2312" w:eastAsia="仿宋_GB2312" w:cs="仿宋_GB2312"/>
          <w:sz w:val="32"/>
          <w:szCs w:val="32"/>
        </w:rPr>
        <w:t>广播电视节目传输覆盖、监听、监看、监测的监管，</w:t>
      </w:r>
      <w:r>
        <w:rPr>
          <w:rFonts w:hint="eastAsia" w:ascii="仿宋_GB2312" w:hAnsi="仿宋_GB2312" w:eastAsia="仿宋_GB2312" w:cs="仿宋_GB2312"/>
          <w:sz w:val="32"/>
          <w:szCs w:val="32"/>
          <w:lang w:eastAsia="zh-CN"/>
        </w:rPr>
        <w:t>会同有关部门做好对网络视听节目和公共视听载体播放的视听节目的监管工作，</w:t>
      </w:r>
      <w:r>
        <w:rPr>
          <w:rFonts w:hint="eastAsia" w:ascii="仿宋_GB2312" w:hAnsi="仿宋_GB2312" w:eastAsia="仿宋_GB2312" w:cs="仿宋_GB2312"/>
          <w:sz w:val="32"/>
          <w:szCs w:val="32"/>
        </w:rPr>
        <w:t>指导、监管全区广播电视广告播放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推进全区应急广播体系建设，监管</w:t>
      </w:r>
      <w:r>
        <w:rPr>
          <w:rFonts w:hint="eastAsia" w:ascii="仿宋_GB2312" w:hAnsi="仿宋_GB2312" w:eastAsia="仿宋_GB2312" w:cs="仿宋_GB2312"/>
          <w:sz w:val="32"/>
          <w:szCs w:val="32"/>
          <w:lang w:eastAsia="zh-CN"/>
        </w:rPr>
        <w:t>协调调度</w:t>
      </w:r>
      <w:r>
        <w:rPr>
          <w:rFonts w:hint="eastAsia" w:ascii="仿宋_GB2312" w:hAnsi="仿宋_GB2312" w:eastAsia="仿宋_GB2312" w:cs="仿宋_GB2312"/>
          <w:sz w:val="32"/>
          <w:szCs w:val="32"/>
        </w:rPr>
        <w:t>全区广播电视安全播出</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napToGrid/>
        <w:spacing w:line="578"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（七）负责对全区各类广播电视机构进行业务指导和监管，会同有关部门对全区网络</w:t>
      </w:r>
      <w:r>
        <w:rPr>
          <w:rFonts w:hint="eastAsia" w:ascii="仿宋_GB2312" w:hAnsi="仿宋_GB2312" w:eastAsia="仿宋_GB2312" w:cs="仿宋_GB2312"/>
          <w:sz w:val="32"/>
          <w:szCs w:val="32"/>
          <w:lang w:eastAsia="zh-CN"/>
        </w:rPr>
        <w:t>视</w:t>
      </w:r>
      <w:r>
        <w:rPr>
          <w:rFonts w:hint="eastAsia" w:ascii="仿宋_GB2312" w:hAnsi="仿宋_GB2312" w:eastAsia="仿宋_GB2312" w:cs="仿宋_GB2312"/>
          <w:sz w:val="32"/>
          <w:szCs w:val="32"/>
        </w:rPr>
        <w:t>听节目服务机构进行管理，推进广播电视与新媒体新技术新业态融合发展</w:t>
      </w:r>
      <w:r>
        <w:rPr>
          <w:rFonts w:hint="eastAsia" w:ascii="仿宋_GB2312" w:hAnsi="仿宋_GB2312" w:eastAsia="仿宋_GB2312" w:cs="仿宋_GB2312"/>
          <w:sz w:val="32"/>
          <w:szCs w:val="32"/>
          <w:lang w:eastAsia="zh-CN"/>
        </w:rPr>
        <w:t>，推进广电网与电信网、互联网三网融合。</w:t>
      </w:r>
    </w:p>
    <w:p>
      <w:pPr>
        <w:keepNext w:val="0"/>
        <w:keepLines w:val="0"/>
        <w:pageBreakBefore w:val="0"/>
        <w:widowControl w:val="0"/>
        <w:kinsoku/>
        <w:wordWrap/>
        <w:overflowPunct/>
        <w:topLinePunct w:val="0"/>
        <w:autoSpaceDE/>
        <w:autoSpaceDN/>
        <w:bidi w:val="0"/>
        <w:snapToGrid/>
        <w:spacing w:line="578"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（八）负责全区非物质文化遗产保护，推动非物质文化遗产的保护、传承、普及、弘扬和振兴</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napToGrid/>
        <w:spacing w:line="578"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（九）统筹规划全区文化产业、广播电视产业、体育产业和旅游产业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组织实施文化和旅游资源普查、挖掘、保护和开发利用工作，促进文化产业、广播电视产业、体育产业和旅游产业发展</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napToGrid/>
        <w:spacing w:line="578"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（十）指导全区文化、广播电视、体育和旅游市场发展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对文化、广播电视、体育和旅游市场进行行业监管，推进全区文化、广播电视</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旅游行业信用体系建设，依法规范文化、广播电视、体育和旅游市场</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napToGrid/>
        <w:spacing w:line="578"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（十一）</w:t>
      </w:r>
      <w:r>
        <w:rPr>
          <w:rFonts w:hint="eastAsia" w:ascii="仿宋_GB2312" w:hAnsi="仿宋_GB2312" w:eastAsia="仿宋_GB2312" w:cs="仿宋_GB2312"/>
          <w:sz w:val="32"/>
          <w:szCs w:val="32"/>
          <w:lang w:eastAsia="zh-CN"/>
        </w:rPr>
        <w:t>负责</w:t>
      </w:r>
      <w:r>
        <w:rPr>
          <w:rFonts w:hint="eastAsia" w:ascii="仿宋_GB2312" w:hAnsi="仿宋_GB2312" w:eastAsia="仿宋_GB2312" w:cs="仿宋_GB2312"/>
          <w:sz w:val="32"/>
          <w:szCs w:val="32"/>
        </w:rPr>
        <w:t>文化、文物、</w:t>
      </w:r>
      <w:r>
        <w:rPr>
          <w:rFonts w:hint="eastAsia" w:ascii="仿宋_GB2312" w:hAnsi="仿宋_GB2312" w:eastAsia="仿宋_GB2312" w:cs="仿宋_GB2312"/>
          <w:sz w:val="32"/>
          <w:szCs w:val="32"/>
          <w:lang w:eastAsia="zh-CN"/>
        </w:rPr>
        <w:t>新闻出版（版权）、</w:t>
      </w:r>
      <w:r>
        <w:rPr>
          <w:rFonts w:hint="eastAsia" w:ascii="仿宋_GB2312" w:hAnsi="仿宋_GB2312" w:eastAsia="仿宋_GB2312" w:cs="仿宋_GB2312"/>
          <w:sz w:val="32"/>
          <w:szCs w:val="32"/>
        </w:rPr>
        <w:t>广播电视、</w:t>
      </w:r>
      <w:r>
        <w:rPr>
          <w:rFonts w:hint="eastAsia" w:ascii="仿宋_GB2312" w:hAnsi="仿宋_GB2312" w:eastAsia="仿宋_GB2312" w:cs="仿宋_GB2312"/>
          <w:sz w:val="32"/>
          <w:szCs w:val="32"/>
          <w:lang w:eastAsia="zh-CN"/>
        </w:rPr>
        <w:t>电影、</w:t>
      </w:r>
      <w:r>
        <w:rPr>
          <w:rFonts w:hint="eastAsia" w:ascii="仿宋_GB2312" w:hAnsi="仿宋_GB2312" w:eastAsia="仿宋_GB2312" w:cs="仿宋_GB2312"/>
          <w:sz w:val="32"/>
          <w:szCs w:val="32"/>
        </w:rPr>
        <w:t>体育、旅游等市场综合执法</w:t>
      </w:r>
      <w:r>
        <w:rPr>
          <w:rFonts w:hint="eastAsia" w:ascii="仿宋_GB2312" w:hAnsi="仿宋_GB2312" w:eastAsia="仿宋_GB2312" w:cs="仿宋_GB2312"/>
          <w:sz w:val="32"/>
          <w:szCs w:val="32"/>
          <w:lang w:eastAsia="zh-CN"/>
        </w:rPr>
        <w:t>；负责督查督办全区性、跨区域性大案要案，</w:t>
      </w:r>
      <w:r>
        <w:rPr>
          <w:rFonts w:hint="eastAsia" w:ascii="仿宋_GB2312" w:hAnsi="仿宋_GB2312" w:eastAsia="仿宋_GB2312" w:cs="仿宋_GB2312"/>
          <w:sz w:val="32"/>
          <w:szCs w:val="32"/>
        </w:rPr>
        <w:t>维护市场秩序</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napToGrid/>
        <w:spacing w:line="578"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（十二）</w:t>
      </w:r>
      <w:r>
        <w:rPr>
          <w:rFonts w:hint="eastAsia" w:ascii="仿宋_GB2312" w:hAnsi="仿宋_GB2312" w:eastAsia="仿宋_GB2312" w:cs="仿宋_GB2312"/>
          <w:sz w:val="32"/>
          <w:szCs w:val="32"/>
          <w:lang w:eastAsia="zh-CN"/>
        </w:rPr>
        <w:t>负责</w:t>
      </w:r>
      <w:r>
        <w:rPr>
          <w:rFonts w:hint="eastAsia" w:ascii="仿宋_GB2312" w:hAnsi="仿宋_GB2312" w:eastAsia="仿宋_GB2312" w:cs="仿宋_GB2312"/>
          <w:sz w:val="32"/>
          <w:szCs w:val="32"/>
        </w:rPr>
        <w:t>文化遗产的管理和保护，指导和管理文物</w:t>
      </w:r>
      <w:r>
        <w:rPr>
          <w:rFonts w:hint="eastAsia" w:ascii="仿宋_GB2312" w:hAnsi="仿宋_GB2312" w:eastAsia="仿宋_GB2312" w:cs="仿宋_GB2312"/>
          <w:sz w:val="32"/>
          <w:szCs w:val="32"/>
          <w:lang w:eastAsia="zh-CN"/>
        </w:rPr>
        <w:t>、博物馆</w:t>
      </w:r>
      <w:r>
        <w:rPr>
          <w:rFonts w:hint="eastAsia" w:ascii="仿宋_GB2312" w:hAnsi="仿宋_GB2312" w:eastAsia="仿宋_GB2312" w:cs="仿宋_GB2312"/>
          <w:sz w:val="32"/>
          <w:szCs w:val="32"/>
        </w:rPr>
        <w:t>事业，组织指导文物的保护抢救、考古发掘和开发利用工作</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napToGrid/>
        <w:spacing w:line="578"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（十三）承担全区文化、广播电视、体育和旅游行业安全综合协调和监督管理工作，负责全区文化、广播电视、体育和旅游行业突发应急事件的处理工作</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napToGrid/>
        <w:spacing w:line="578"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（十四）指导、管理全区文化、广播电视和旅游对外及对港澳台交流、合作和宣传、推广工作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组织大型文化、广播电视和旅游对外及对港澳台交流活动</w:t>
      </w:r>
      <w:r>
        <w:rPr>
          <w:rFonts w:hint="eastAsia" w:ascii="仿宋_GB2312" w:hAnsi="仿宋_GB2312" w:eastAsia="仿宋_GB2312" w:cs="仿宋_GB2312"/>
          <w:sz w:val="32"/>
          <w:szCs w:val="32"/>
          <w:lang w:eastAsia="zh-CN"/>
        </w:rPr>
        <w:t>。根据授权开展对外体育合作与交流。</w:t>
      </w:r>
    </w:p>
    <w:p>
      <w:pPr>
        <w:keepNext w:val="0"/>
        <w:keepLines w:val="0"/>
        <w:pageBreakBefore w:val="0"/>
        <w:widowControl w:val="0"/>
        <w:kinsoku/>
        <w:wordWrap/>
        <w:overflowPunct/>
        <w:topLinePunct w:val="0"/>
        <w:autoSpaceDE/>
        <w:autoSpaceDN/>
        <w:bidi w:val="0"/>
        <w:snapToGrid/>
        <w:spacing w:line="578"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（十五）负责统筹规划全区群众体育发展，推行全民健身计划，开展群众性体育活动，实施国家体育锻炼标准，开展国民体质监测，负责公共体育设施建设及监督管理工作。</w:t>
      </w:r>
    </w:p>
    <w:p>
      <w:pPr>
        <w:keepNext w:val="0"/>
        <w:keepLines w:val="0"/>
        <w:pageBreakBefore w:val="0"/>
        <w:widowControl w:val="0"/>
        <w:kinsoku/>
        <w:wordWrap/>
        <w:overflowPunct/>
        <w:topLinePunct w:val="0"/>
        <w:autoSpaceDE/>
        <w:autoSpaceDN/>
        <w:bidi w:val="0"/>
        <w:snapToGrid/>
        <w:spacing w:line="578"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六）负责统筹规划全区竞技体育发展，确定全区青少年体育项目的设置和布局，指导全区青少年业余训练机构开展业余训练，建设区级青少年竞赛体系，组织协调由区级承办的重要竞技体育赛事，组织开展全区青少年反兴奋剂工作。</w:t>
      </w:r>
    </w:p>
    <w:p>
      <w:pPr>
        <w:keepNext w:val="0"/>
        <w:keepLines w:val="0"/>
        <w:pageBreakBefore w:val="0"/>
        <w:widowControl w:val="0"/>
        <w:kinsoku/>
        <w:wordWrap/>
        <w:overflowPunct/>
        <w:topLinePunct w:val="0"/>
        <w:autoSpaceDE/>
        <w:autoSpaceDN/>
        <w:bidi w:val="0"/>
        <w:snapToGrid/>
        <w:spacing w:line="578"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（十七）指导体育</w:t>
      </w:r>
      <w:r>
        <w:rPr>
          <w:rFonts w:hint="eastAsia" w:ascii="仿宋_GB2312" w:hAnsi="仿宋_GB2312" w:eastAsia="仿宋_GB2312" w:cs="仿宋_GB2312"/>
          <w:sz w:val="32"/>
          <w:szCs w:val="32"/>
          <w:lang w:val="en-US" w:eastAsia="zh-CN"/>
        </w:rPr>
        <w:t>社</w:t>
      </w:r>
      <w:r>
        <w:rPr>
          <w:rFonts w:hint="eastAsia" w:ascii="仿宋_GB2312" w:hAnsi="仿宋_GB2312" w:eastAsia="仿宋_GB2312" w:cs="仿宋_GB2312"/>
          <w:sz w:val="32"/>
          <w:szCs w:val="32"/>
        </w:rPr>
        <w:t>团工作</w:t>
      </w:r>
      <w:r>
        <w:rPr>
          <w:rFonts w:hint="eastAsia" w:ascii="仿宋_GB2312" w:hAnsi="仿宋_GB2312" w:eastAsia="仿宋_GB2312" w:cs="仿宋_GB2312"/>
          <w:sz w:val="32"/>
          <w:szCs w:val="32"/>
          <w:lang w:eastAsia="zh-CN"/>
        </w:rPr>
        <w:t>。</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rPr>
        <w:t>）完成区委、区政府交办的其他任务。</w:t>
      </w:r>
    </w:p>
    <w:p>
      <w:pPr>
        <w:jc w:val="left"/>
        <w:rPr>
          <w:rFonts w:hint="eastAsia" w:ascii="仿宋_GB2312" w:hAnsi="仿宋_GB2312" w:eastAsia="仿宋_GB2312" w:cs="仿宋_GB2312"/>
          <w:sz w:val="32"/>
          <w:szCs w:val="32"/>
        </w:rPr>
        <w:sectPr>
          <w:pgSz w:w="11907" w:h="16839"/>
          <w:pgMar w:top="1531" w:right="1134" w:bottom="1474" w:left="1134" w:header="851" w:footer="992" w:gutter="0"/>
          <w:cols w:space="720" w:num="1"/>
          <w:docGrid w:type="lines" w:linePitch="312" w:charSpace="0"/>
        </w:sectPr>
      </w:pPr>
    </w:p>
    <w:p>
      <w:pPr>
        <w:ind w:firstLine="321" w:firstLineChars="100"/>
        <w:rPr>
          <w:rFonts w:hint="eastAsia" w:ascii="仿宋_GB2312" w:hAnsi="宋体" w:eastAsia="仿宋_GB2312"/>
          <w:b/>
          <w:kern w:val="0"/>
          <w:sz w:val="32"/>
          <w:szCs w:val="32"/>
        </w:rPr>
      </w:pPr>
      <w:r>
        <w:rPr>
          <w:rFonts w:hint="eastAsia" w:ascii="仿宋_GB2312" w:hAnsi="宋体" w:eastAsia="仿宋_GB2312" w:cs="宋体"/>
          <w:b/>
          <w:kern w:val="0"/>
          <w:sz w:val="32"/>
          <w:szCs w:val="32"/>
        </w:rPr>
        <w:t>（二）机构设置</w:t>
      </w:r>
      <w:r>
        <w:rPr>
          <w:rFonts w:hint="eastAsia" w:ascii="仿宋_GB2312" w:hAnsi="宋体" w:eastAsia="仿宋_GB2312"/>
          <w:b/>
          <w:kern w:val="0"/>
          <w:sz w:val="32"/>
          <w:szCs w:val="32"/>
        </w:rPr>
        <w:t xml:space="preserve"> </w:t>
      </w:r>
    </w:p>
    <w:p>
      <w:pPr>
        <w:jc w:val="center"/>
        <w:outlineLvl w:val="0"/>
        <w:rPr>
          <w:rFonts w:hint="eastAsia" w:ascii="方正小标宋_GBK" w:eastAsia="方正小标宋_GBK"/>
          <w:sz w:val="32"/>
        </w:rPr>
      </w:pPr>
      <w:bookmarkStart w:id="0" w:name="_Toc1657540"/>
      <w:r>
        <w:rPr>
          <w:rFonts w:hint="eastAsia" w:ascii="方正小标宋_GBK" w:eastAsia="方正小标宋_GBK"/>
          <w:sz w:val="32"/>
        </w:rPr>
        <w:t>部门基本情况表</w:t>
      </w:r>
      <w:bookmarkEnd w:id="0"/>
    </w:p>
    <w:tbl>
      <w:tblPr>
        <w:tblStyle w:val="13"/>
        <w:tblW w:w="14262"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27"/>
        <w:gridCol w:w="1134"/>
        <w:gridCol w:w="1276"/>
        <w:gridCol w:w="2353"/>
        <w:gridCol w:w="709"/>
        <w:gridCol w:w="709"/>
        <w:gridCol w:w="709"/>
        <w:gridCol w:w="709"/>
        <w:gridCol w:w="709"/>
        <w:gridCol w:w="709"/>
        <w:gridCol w:w="709"/>
        <w:gridCol w:w="70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0008"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小标宋_GBK" w:eastAsia="方正小标宋_GBK"/>
                <w:sz w:val="24"/>
              </w:rPr>
            </w:pPr>
            <w:r>
              <w:rPr>
                <w:rFonts w:ascii="方正小标宋_GBK" w:eastAsia="方正小标宋_GBK"/>
                <w:sz w:val="24"/>
              </w:rPr>
              <w:t>357</w:t>
            </w:r>
            <w:r>
              <w:rPr>
                <w:rFonts w:hint="eastAsia" w:ascii="方正小标宋_GBK" w:eastAsia="方正小标宋_GBK"/>
                <w:sz w:val="24"/>
              </w:rPr>
              <w:t>石家庄市鹿泉区文体旅游局</w:t>
            </w:r>
          </w:p>
        </w:tc>
        <w:tc>
          <w:tcPr>
            <w:tcW w:w="4254"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小标宋_GBK" w:eastAsia="方正小标宋_GBK"/>
                <w:sz w:val="24"/>
              </w:rPr>
            </w:pPr>
            <w:r>
              <w:rPr>
                <w:rFonts w:hint="eastAsia" w:ascii="方正小标宋_GBK" w:eastAsia="方正小标宋_GBK"/>
                <w:sz w:val="24"/>
              </w:rPr>
              <w:t>单位：人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3827"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单位名称</w:t>
            </w:r>
          </w:p>
        </w:tc>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单位性质</w:t>
            </w:r>
          </w:p>
        </w:tc>
        <w:tc>
          <w:tcPr>
            <w:tcW w:w="12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单位规格</w:t>
            </w:r>
          </w:p>
        </w:tc>
        <w:tc>
          <w:tcPr>
            <w:tcW w:w="2353"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经费保障形式</w:t>
            </w:r>
          </w:p>
        </w:tc>
        <w:tc>
          <w:tcPr>
            <w:tcW w:w="709"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车辆实有数</w:t>
            </w:r>
          </w:p>
        </w:tc>
        <w:tc>
          <w:tcPr>
            <w:tcW w:w="1418" w:type="dxa"/>
            <w:gridSpan w:val="2"/>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编制人数</w:t>
            </w:r>
          </w:p>
        </w:tc>
        <w:tc>
          <w:tcPr>
            <w:tcW w:w="1418" w:type="dxa"/>
            <w:gridSpan w:val="2"/>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在职人数</w:t>
            </w:r>
          </w:p>
        </w:tc>
        <w:tc>
          <w:tcPr>
            <w:tcW w:w="2127" w:type="dxa"/>
            <w:gridSpan w:val="3"/>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离退人数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3827" w:type="dxa"/>
            <w:vMerge w:val="continue"/>
            <w:shd w:val="clear" w:color="auto" w:fill="auto"/>
            <w:vAlign w:val="center"/>
          </w:tcPr>
          <w:p>
            <w:pPr>
              <w:spacing w:line="300" w:lineRule="exact"/>
              <w:jc w:val="left"/>
              <w:outlineLvl w:val="0"/>
            </w:pPr>
          </w:p>
        </w:tc>
        <w:tc>
          <w:tcPr>
            <w:tcW w:w="1134" w:type="dxa"/>
            <w:vMerge w:val="continue"/>
            <w:shd w:val="clear" w:color="auto" w:fill="auto"/>
            <w:vAlign w:val="center"/>
          </w:tcPr>
          <w:p>
            <w:pPr>
              <w:spacing w:line="300" w:lineRule="exact"/>
              <w:jc w:val="left"/>
              <w:outlineLvl w:val="0"/>
            </w:pPr>
          </w:p>
        </w:tc>
        <w:tc>
          <w:tcPr>
            <w:tcW w:w="1276" w:type="dxa"/>
            <w:vMerge w:val="continue"/>
            <w:shd w:val="clear" w:color="auto" w:fill="auto"/>
            <w:vAlign w:val="center"/>
          </w:tcPr>
          <w:p>
            <w:pPr>
              <w:spacing w:line="300" w:lineRule="exact"/>
              <w:jc w:val="left"/>
              <w:outlineLvl w:val="0"/>
            </w:pPr>
          </w:p>
        </w:tc>
        <w:tc>
          <w:tcPr>
            <w:tcW w:w="2353" w:type="dxa"/>
            <w:vMerge w:val="continue"/>
            <w:shd w:val="clear" w:color="auto" w:fill="auto"/>
            <w:vAlign w:val="center"/>
          </w:tcPr>
          <w:p>
            <w:pPr>
              <w:spacing w:line="300" w:lineRule="exact"/>
              <w:jc w:val="left"/>
              <w:outlineLvl w:val="0"/>
            </w:pPr>
          </w:p>
        </w:tc>
        <w:tc>
          <w:tcPr>
            <w:tcW w:w="709" w:type="dxa"/>
            <w:vMerge w:val="continue"/>
            <w:shd w:val="clear" w:color="auto" w:fill="auto"/>
            <w:vAlign w:val="center"/>
          </w:tcPr>
          <w:p>
            <w:pPr>
              <w:spacing w:line="300" w:lineRule="exact"/>
              <w:jc w:val="left"/>
              <w:outlineLvl w:val="0"/>
            </w:pP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行政</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事业</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行政</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事业</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离休</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退休</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退职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合</w:t>
            </w:r>
            <w:r>
              <w:rPr>
                <w:rFonts w:ascii="方正书宋_GBK" w:eastAsia="方正书宋_GBK"/>
                <w:b/>
              </w:rPr>
              <w:t xml:space="preserve">    </w:t>
            </w:r>
            <w:r>
              <w:rPr>
                <w:rFonts w:hint="eastAsia" w:ascii="方正书宋_GBK" w:eastAsia="方正书宋_GBK"/>
                <w:b/>
              </w:rPr>
              <w:t>计</w:t>
            </w:r>
          </w:p>
        </w:tc>
        <w:tc>
          <w:tcPr>
            <w:tcW w:w="1134" w:type="dxa"/>
            <w:shd w:val="clear" w:color="auto" w:fill="auto"/>
            <w:vAlign w:val="center"/>
          </w:tcPr>
          <w:p>
            <w:pPr>
              <w:spacing w:line="300" w:lineRule="exact"/>
              <w:jc w:val="center"/>
              <w:rPr>
                <w:rFonts w:ascii="方正书宋_GBK" w:eastAsia="方正书宋_GBK"/>
                <w:b/>
              </w:rPr>
            </w:pPr>
          </w:p>
        </w:tc>
        <w:tc>
          <w:tcPr>
            <w:tcW w:w="1276" w:type="dxa"/>
            <w:shd w:val="clear" w:color="auto" w:fill="auto"/>
            <w:vAlign w:val="center"/>
          </w:tcPr>
          <w:p>
            <w:pPr>
              <w:spacing w:line="300" w:lineRule="exact"/>
              <w:jc w:val="center"/>
              <w:rPr>
                <w:rFonts w:ascii="方正书宋_GBK" w:eastAsia="方正书宋_GBK"/>
                <w:b/>
              </w:rPr>
            </w:pPr>
          </w:p>
        </w:tc>
        <w:tc>
          <w:tcPr>
            <w:tcW w:w="2353" w:type="dxa"/>
            <w:shd w:val="clear" w:color="auto" w:fill="auto"/>
            <w:vAlign w:val="center"/>
          </w:tcPr>
          <w:p>
            <w:pPr>
              <w:spacing w:line="300" w:lineRule="exact"/>
              <w:jc w:val="center"/>
              <w:rPr>
                <w:rFonts w:ascii="方正书宋_GBK" w:eastAsia="方正书宋_GBK"/>
                <w:b/>
              </w:rPr>
            </w:pPr>
          </w:p>
        </w:tc>
        <w:tc>
          <w:tcPr>
            <w:tcW w:w="709" w:type="dxa"/>
            <w:shd w:val="clear" w:color="auto" w:fill="auto"/>
            <w:vAlign w:val="center"/>
          </w:tcPr>
          <w:p>
            <w:pPr>
              <w:spacing w:line="300" w:lineRule="exact"/>
              <w:jc w:val="center"/>
              <w:rPr>
                <w:rFonts w:ascii="方正书宋_GBK" w:eastAsia="方正书宋_GBK"/>
                <w:b/>
              </w:rPr>
            </w:pPr>
            <w:r>
              <w:rPr>
                <w:rFonts w:ascii="方正书宋_GBK" w:eastAsia="方正书宋_GBK"/>
                <w:b/>
              </w:rPr>
              <w:t>3</w:t>
            </w:r>
          </w:p>
        </w:tc>
        <w:tc>
          <w:tcPr>
            <w:tcW w:w="709" w:type="dxa"/>
            <w:shd w:val="clear" w:color="auto" w:fill="auto"/>
            <w:vAlign w:val="center"/>
          </w:tcPr>
          <w:p>
            <w:pPr>
              <w:spacing w:line="300" w:lineRule="exact"/>
              <w:jc w:val="center"/>
              <w:rPr>
                <w:rFonts w:ascii="方正书宋_GBK" w:eastAsia="方正书宋_GBK"/>
                <w:b/>
              </w:rPr>
            </w:pPr>
            <w:r>
              <w:rPr>
                <w:rFonts w:ascii="方正书宋_GBK" w:eastAsia="方正书宋_GBK"/>
                <w:b/>
              </w:rPr>
              <w:t>26</w:t>
            </w:r>
          </w:p>
        </w:tc>
        <w:tc>
          <w:tcPr>
            <w:tcW w:w="709" w:type="dxa"/>
            <w:shd w:val="clear" w:color="auto" w:fill="auto"/>
            <w:vAlign w:val="center"/>
          </w:tcPr>
          <w:p>
            <w:pPr>
              <w:spacing w:line="300" w:lineRule="exact"/>
              <w:jc w:val="center"/>
              <w:rPr>
                <w:rFonts w:ascii="方正书宋_GBK" w:eastAsia="方正书宋_GBK"/>
                <w:b/>
              </w:rPr>
            </w:pPr>
            <w:r>
              <w:rPr>
                <w:rFonts w:ascii="方正书宋_GBK" w:eastAsia="方正书宋_GBK"/>
                <w:b/>
              </w:rPr>
              <w:t>46</w:t>
            </w:r>
          </w:p>
        </w:tc>
        <w:tc>
          <w:tcPr>
            <w:tcW w:w="709" w:type="dxa"/>
            <w:shd w:val="clear" w:color="auto" w:fill="auto"/>
            <w:vAlign w:val="center"/>
          </w:tcPr>
          <w:p>
            <w:pPr>
              <w:spacing w:line="300" w:lineRule="exact"/>
              <w:jc w:val="center"/>
              <w:rPr>
                <w:rFonts w:ascii="方正书宋_GBK" w:eastAsia="方正书宋_GBK"/>
                <w:b/>
              </w:rPr>
            </w:pPr>
            <w:r>
              <w:rPr>
                <w:rFonts w:ascii="方正书宋_GBK" w:eastAsia="方正书宋_GBK"/>
                <w:b/>
              </w:rPr>
              <w:t>31</w:t>
            </w:r>
          </w:p>
        </w:tc>
        <w:tc>
          <w:tcPr>
            <w:tcW w:w="709" w:type="dxa"/>
            <w:shd w:val="clear" w:color="auto" w:fill="auto"/>
            <w:vAlign w:val="center"/>
          </w:tcPr>
          <w:p>
            <w:pPr>
              <w:spacing w:line="300" w:lineRule="exact"/>
              <w:jc w:val="center"/>
              <w:rPr>
                <w:rFonts w:ascii="方正书宋_GBK" w:eastAsia="方正书宋_GBK"/>
                <w:b/>
              </w:rPr>
            </w:pPr>
            <w:r>
              <w:rPr>
                <w:rFonts w:ascii="方正书宋_GBK" w:eastAsia="方正书宋_GBK"/>
                <w:b/>
              </w:rPr>
              <w:t>36</w:t>
            </w:r>
          </w:p>
        </w:tc>
        <w:tc>
          <w:tcPr>
            <w:tcW w:w="709" w:type="dxa"/>
            <w:shd w:val="clear" w:color="auto" w:fill="auto"/>
            <w:vAlign w:val="center"/>
          </w:tcPr>
          <w:p>
            <w:pPr>
              <w:spacing w:line="300" w:lineRule="exact"/>
              <w:jc w:val="center"/>
              <w:rPr>
                <w:rFonts w:ascii="方正书宋_GBK" w:eastAsia="方正书宋_GBK"/>
                <w:b/>
              </w:rPr>
            </w:pPr>
            <w:r>
              <w:rPr>
                <w:rFonts w:ascii="方正书宋_GBK" w:eastAsia="方正书宋_GBK"/>
                <w:b/>
              </w:rPr>
              <w:t>1</w:t>
            </w:r>
          </w:p>
        </w:tc>
        <w:tc>
          <w:tcPr>
            <w:tcW w:w="709" w:type="dxa"/>
            <w:shd w:val="clear" w:color="auto" w:fill="auto"/>
            <w:vAlign w:val="center"/>
          </w:tcPr>
          <w:p>
            <w:pPr>
              <w:spacing w:line="300" w:lineRule="exact"/>
              <w:jc w:val="center"/>
              <w:rPr>
                <w:rFonts w:ascii="方正书宋_GBK" w:eastAsia="方正书宋_GBK"/>
                <w:b/>
              </w:rPr>
            </w:pPr>
            <w:r>
              <w:rPr>
                <w:rFonts w:ascii="方正书宋_GBK" w:eastAsia="方正书宋_GBK"/>
                <w:b/>
              </w:rPr>
              <w:t>19</w:t>
            </w:r>
          </w:p>
        </w:tc>
        <w:tc>
          <w:tcPr>
            <w:tcW w:w="709" w:type="dxa"/>
            <w:shd w:val="clear" w:color="auto" w:fill="auto"/>
            <w:vAlign w:val="center"/>
          </w:tcPr>
          <w:p>
            <w:pPr>
              <w:spacing w:line="300" w:lineRule="exact"/>
              <w:jc w:val="center"/>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石家庄市鹿泉区文体旅游局</w:t>
            </w:r>
          </w:p>
        </w:tc>
        <w:tc>
          <w:tcPr>
            <w:tcW w:w="1134"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行政</w:t>
            </w:r>
          </w:p>
        </w:tc>
        <w:tc>
          <w:tcPr>
            <w:tcW w:w="1276"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正科级</w:t>
            </w:r>
          </w:p>
        </w:tc>
        <w:tc>
          <w:tcPr>
            <w:tcW w:w="2353"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财政拨款</w:t>
            </w: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2</w:t>
            </w: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26</w:t>
            </w: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10</w:t>
            </w: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31</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w:t>
            </w: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19</w:t>
            </w:r>
          </w:p>
        </w:tc>
        <w:tc>
          <w:tcPr>
            <w:tcW w:w="709"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石家庄市鹿泉区图书馆</w:t>
            </w:r>
          </w:p>
        </w:tc>
        <w:tc>
          <w:tcPr>
            <w:tcW w:w="1134"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事业</w:t>
            </w:r>
          </w:p>
        </w:tc>
        <w:tc>
          <w:tcPr>
            <w:tcW w:w="1276"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其他</w:t>
            </w:r>
          </w:p>
        </w:tc>
        <w:tc>
          <w:tcPr>
            <w:tcW w:w="2353"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财政性资金基本保证</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8</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8</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石家庄市鹿泉区文物保护管理所</w:t>
            </w:r>
          </w:p>
        </w:tc>
        <w:tc>
          <w:tcPr>
            <w:tcW w:w="1134"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事业</w:t>
            </w:r>
          </w:p>
        </w:tc>
        <w:tc>
          <w:tcPr>
            <w:tcW w:w="1276"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其他</w:t>
            </w:r>
          </w:p>
        </w:tc>
        <w:tc>
          <w:tcPr>
            <w:tcW w:w="2353"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财政性资金基本保证</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6</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6</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石家庄市鹿泉区文化馆</w:t>
            </w:r>
          </w:p>
        </w:tc>
        <w:tc>
          <w:tcPr>
            <w:tcW w:w="1134"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事业</w:t>
            </w:r>
          </w:p>
        </w:tc>
        <w:tc>
          <w:tcPr>
            <w:tcW w:w="1276"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其他</w:t>
            </w:r>
          </w:p>
        </w:tc>
        <w:tc>
          <w:tcPr>
            <w:tcW w:w="2353"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财政性资金基本保证</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11</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11</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石家庄市鹿泉区体育场</w:t>
            </w:r>
          </w:p>
        </w:tc>
        <w:tc>
          <w:tcPr>
            <w:tcW w:w="1134"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事业</w:t>
            </w:r>
          </w:p>
        </w:tc>
        <w:tc>
          <w:tcPr>
            <w:tcW w:w="1276"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其他</w:t>
            </w:r>
          </w:p>
        </w:tc>
        <w:tc>
          <w:tcPr>
            <w:tcW w:w="2353"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财政性资金基本保证</w:t>
            </w: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11</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11</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r>
    </w:tbl>
    <w:p>
      <w:pPr>
        <w:spacing w:line="300" w:lineRule="exact"/>
        <w:jc w:val="left"/>
        <w:outlineLvl w:val="0"/>
        <w:sectPr>
          <w:pgSz w:w="16839" w:h="11907" w:orient="landscape"/>
          <w:pgMar w:top="1020" w:right="1361" w:bottom="1020" w:left="1361" w:header="851" w:footer="992" w:gutter="0"/>
          <w:cols w:space="425" w:num="1"/>
          <w:docGrid w:type="lines" w:linePitch="312" w:charSpace="0"/>
        </w:sectPr>
      </w:pPr>
    </w:p>
    <w:p>
      <w:pPr>
        <w:numPr>
          <w:ilvl w:val="0"/>
          <w:numId w:val="1"/>
        </w:numPr>
        <w:autoSpaceDE w:val="0"/>
        <w:autoSpaceDN w:val="0"/>
        <w:adjustRightInd w:val="0"/>
        <w:spacing w:before="49"/>
        <w:ind w:right="-20" w:firstLine="648" w:firstLineChars="200"/>
        <w:jc w:val="left"/>
        <w:rPr>
          <w:rFonts w:hint="eastAsia" w:ascii="仿宋" w:hAnsi="仿宋" w:eastAsia="仿宋" w:cs="仿宋_GB2312"/>
          <w:b/>
          <w:spacing w:val="2"/>
          <w:kern w:val="0"/>
          <w:sz w:val="32"/>
          <w:szCs w:val="32"/>
        </w:rPr>
      </w:pPr>
      <w:r>
        <w:rPr>
          <w:rFonts w:hint="eastAsia" w:ascii="仿宋" w:hAnsi="仿宋" w:eastAsia="仿宋" w:cs="仿宋_GB2312"/>
          <w:b/>
          <w:spacing w:val="2"/>
          <w:kern w:val="0"/>
          <w:sz w:val="32"/>
          <w:szCs w:val="32"/>
        </w:rPr>
        <w:t>部门预算安排总体情况</w:t>
      </w:r>
    </w:p>
    <w:p>
      <w:pPr>
        <w:ind w:firstLine="640" w:firstLineChars="200"/>
        <w:jc w:val="left"/>
        <w:outlineLvl w:val="0"/>
        <w:rPr>
          <w:rFonts w:hint="eastAsia" w:ascii="仿宋_GB2312" w:hAnsi="宋体" w:eastAsia="仿宋_GB2312"/>
          <w:color w:val="auto"/>
          <w:sz w:val="32"/>
          <w:szCs w:val="32"/>
        </w:rPr>
      </w:pPr>
      <w:r>
        <w:rPr>
          <w:rFonts w:hint="eastAsia" w:ascii="仿宋_GB2312" w:hAnsi="宋体" w:eastAsia="仿宋_GB2312"/>
          <w:color w:val="auto"/>
          <w:sz w:val="32"/>
          <w:szCs w:val="32"/>
        </w:rPr>
        <w:t>1、收入说明</w:t>
      </w:r>
    </w:p>
    <w:p>
      <w:pPr>
        <w:adjustRightInd w:val="0"/>
        <w:ind w:firstLine="640" w:firstLineChars="200"/>
        <w:jc w:val="left"/>
        <w:rPr>
          <w:rFonts w:hint="eastAsia" w:ascii="仿宋_GB2312" w:hAnsi="宋体" w:eastAsia="仿宋_GB2312"/>
          <w:color w:val="auto"/>
          <w:sz w:val="32"/>
          <w:szCs w:val="32"/>
        </w:rPr>
      </w:pPr>
      <w:r>
        <w:rPr>
          <w:rFonts w:hint="eastAsia" w:ascii="仿宋_GB2312" w:hAnsi="宋体" w:eastAsia="仿宋_GB2312"/>
          <w:color w:val="auto"/>
          <w:sz w:val="32"/>
          <w:szCs w:val="32"/>
        </w:rPr>
        <w:t>石家庄市鹿泉区文体旅游局201</w:t>
      </w:r>
      <w:r>
        <w:rPr>
          <w:rFonts w:hint="eastAsia" w:ascii="仿宋_GB2312" w:hAnsi="宋体" w:eastAsia="仿宋_GB2312"/>
          <w:color w:val="auto"/>
          <w:sz w:val="32"/>
          <w:szCs w:val="32"/>
          <w:lang w:val="en-US" w:eastAsia="zh-CN"/>
        </w:rPr>
        <w:t>9</w:t>
      </w:r>
      <w:r>
        <w:rPr>
          <w:rFonts w:hint="eastAsia" w:ascii="仿宋_GB2312" w:hAnsi="宋体" w:eastAsia="仿宋_GB2312"/>
          <w:color w:val="auto"/>
          <w:sz w:val="32"/>
          <w:szCs w:val="32"/>
        </w:rPr>
        <w:t>年预算收入总计</w:t>
      </w:r>
      <w:r>
        <w:rPr>
          <w:rFonts w:hint="eastAsia" w:ascii="仿宋_GB2312" w:hAnsi="宋体" w:eastAsia="仿宋_GB2312"/>
          <w:color w:val="auto"/>
          <w:sz w:val="32"/>
          <w:szCs w:val="32"/>
          <w:lang w:val="en-US" w:eastAsia="zh-CN"/>
        </w:rPr>
        <w:t>2848.79</w:t>
      </w:r>
      <w:r>
        <w:rPr>
          <w:rFonts w:hint="eastAsia" w:ascii="仿宋_GB2312" w:hAnsi="宋体" w:eastAsia="仿宋_GB2312"/>
          <w:color w:val="auto"/>
          <w:sz w:val="32"/>
          <w:szCs w:val="32"/>
        </w:rPr>
        <w:t>万元。其中，一般公共预算收入</w:t>
      </w:r>
      <w:r>
        <w:rPr>
          <w:rFonts w:hint="eastAsia" w:ascii="仿宋_GB2312" w:hAnsi="宋体" w:eastAsia="仿宋_GB2312"/>
          <w:color w:val="auto"/>
          <w:sz w:val="32"/>
          <w:szCs w:val="32"/>
          <w:lang w:val="en-US" w:eastAsia="zh-CN"/>
        </w:rPr>
        <w:t>2848.79</w:t>
      </w:r>
      <w:r>
        <w:rPr>
          <w:rFonts w:hint="eastAsia" w:ascii="仿宋_GB2312" w:hAnsi="宋体" w:eastAsia="仿宋_GB2312"/>
          <w:color w:val="auto"/>
          <w:sz w:val="32"/>
          <w:szCs w:val="32"/>
        </w:rPr>
        <w:t>万元，基金预算收入0万元。</w:t>
      </w:r>
    </w:p>
    <w:p>
      <w:pPr>
        <w:ind w:firstLine="640" w:firstLineChars="200"/>
        <w:jc w:val="left"/>
        <w:outlineLvl w:val="0"/>
        <w:rPr>
          <w:rFonts w:hint="eastAsia" w:ascii="仿宋_GB2312" w:hAnsi="宋体" w:eastAsia="仿宋_GB2312"/>
          <w:color w:val="auto"/>
          <w:sz w:val="32"/>
          <w:szCs w:val="32"/>
        </w:rPr>
      </w:pPr>
      <w:r>
        <w:rPr>
          <w:rFonts w:hint="eastAsia" w:ascii="仿宋_GB2312" w:hAnsi="宋体" w:eastAsia="仿宋_GB2312"/>
          <w:color w:val="auto"/>
          <w:sz w:val="32"/>
          <w:szCs w:val="32"/>
        </w:rPr>
        <w:t>2、支出说明</w:t>
      </w:r>
    </w:p>
    <w:p>
      <w:pPr>
        <w:adjustRightInd w:val="0"/>
        <w:ind w:firstLine="640" w:firstLineChars="200"/>
        <w:jc w:val="left"/>
        <w:rPr>
          <w:rFonts w:hint="eastAsia" w:ascii="仿宋_GB2312" w:hAnsi="宋体" w:eastAsia="仿宋_GB2312"/>
          <w:color w:val="auto"/>
          <w:sz w:val="32"/>
          <w:szCs w:val="32"/>
        </w:rPr>
      </w:pPr>
      <w:r>
        <w:rPr>
          <w:rFonts w:hint="eastAsia" w:ascii="仿宋_GB2312" w:hAnsi="宋体" w:eastAsia="仿宋_GB2312"/>
          <w:color w:val="auto"/>
          <w:sz w:val="32"/>
          <w:szCs w:val="32"/>
        </w:rPr>
        <w:t>201</w:t>
      </w:r>
      <w:r>
        <w:rPr>
          <w:rFonts w:hint="eastAsia" w:ascii="仿宋_GB2312" w:hAnsi="宋体" w:eastAsia="仿宋_GB2312"/>
          <w:color w:val="auto"/>
          <w:sz w:val="32"/>
          <w:szCs w:val="32"/>
          <w:lang w:val="en-US" w:eastAsia="zh-CN"/>
        </w:rPr>
        <w:t>9</w:t>
      </w:r>
      <w:r>
        <w:rPr>
          <w:rFonts w:hint="eastAsia" w:ascii="仿宋_GB2312" w:hAnsi="宋体" w:eastAsia="仿宋_GB2312"/>
          <w:color w:val="auto"/>
          <w:sz w:val="32"/>
          <w:szCs w:val="32"/>
        </w:rPr>
        <w:t>预算支出</w:t>
      </w:r>
      <w:r>
        <w:rPr>
          <w:rFonts w:hint="eastAsia" w:ascii="仿宋_GB2312" w:hAnsi="宋体" w:eastAsia="仿宋_GB2312"/>
          <w:color w:val="auto"/>
          <w:sz w:val="32"/>
          <w:szCs w:val="32"/>
          <w:lang w:val="en-US" w:eastAsia="zh-CN"/>
        </w:rPr>
        <w:t>2848.79</w:t>
      </w:r>
      <w:r>
        <w:rPr>
          <w:rFonts w:hint="eastAsia" w:ascii="仿宋_GB2312" w:hAnsi="宋体" w:eastAsia="仿宋_GB2312"/>
          <w:color w:val="auto"/>
          <w:sz w:val="32"/>
          <w:szCs w:val="32"/>
        </w:rPr>
        <w:t>万元。其中，人员经</w:t>
      </w:r>
      <w:r>
        <w:rPr>
          <w:rFonts w:hint="eastAsia" w:ascii="仿宋_GB2312" w:hAnsi="宋体" w:eastAsia="仿宋_GB2312"/>
          <w:color w:val="auto"/>
          <w:sz w:val="32"/>
          <w:szCs w:val="32"/>
        </w:rPr>
        <w:t>费支出1055.58万元，正常公用经费</w:t>
      </w:r>
      <w:r>
        <w:rPr>
          <w:rFonts w:hint="eastAsia" w:ascii="仿宋_GB2312" w:hAnsi="宋体" w:eastAsia="仿宋_GB2312"/>
          <w:color w:val="auto"/>
          <w:sz w:val="32"/>
          <w:szCs w:val="32"/>
          <w:lang w:val="en-US" w:eastAsia="zh-CN"/>
        </w:rPr>
        <w:t>123.7</w:t>
      </w:r>
      <w:r>
        <w:rPr>
          <w:rFonts w:hint="eastAsia" w:ascii="仿宋_GB2312" w:hAnsi="宋体" w:eastAsia="仿宋_GB2312"/>
          <w:color w:val="auto"/>
          <w:sz w:val="32"/>
          <w:szCs w:val="32"/>
        </w:rPr>
        <w:t>万元，项目支出</w:t>
      </w:r>
      <w:r>
        <w:rPr>
          <w:rFonts w:hint="eastAsia" w:ascii="仿宋_GB2312" w:hAnsi="宋体" w:eastAsia="仿宋_GB2312"/>
          <w:color w:val="auto"/>
          <w:sz w:val="32"/>
          <w:szCs w:val="32"/>
          <w:lang w:val="en-US" w:eastAsia="zh-CN"/>
        </w:rPr>
        <w:t>1669.51</w:t>
      </w:r>
      <w:r>
        <w:rPr>
          <w:rFonts w:hint="eastAsia" w:ascii="仿宋_GB2312" w:hAnsi="宋体" w:eastAsia="仿宋_GB2312"/>
          <w:color w:val="auto"/>
          <w:sz w:val="32"/>
          <w:szCs w:val="32"/>
        </w:rPr>
        <w:t>万元（其中本</w:t>
      </w:r>
      <w:r>
        <w:rPr>
          <w:rFonts w:hint="eastAsia" w:ascii="仿宋_GB2312" w:hAnsi="宋体" w:eastAsia="仿宋_GB2312"/>
          <w:color w:val="auto"/>
          <w:sz w:val="32"/>
          <w:szCs w:val="32"/>
        </w:rPr>
        <w:t>级项目支出</w:t>
      </w:r>
      <w:r>
        <w:rPr>
          <w:rFonts w:hint="eastAsia" w:ascii="仿宋_GB2312" w:hAnsi="宋体" w:eastAsia="仿宋_GB2312"/>
          <w:color w:val="auto"/>
          <w:sz w:val="32"/>
          <w:szCs w:val="32"/>
          <w:lang w:val="en-US" w:eastAsia="zh-CN"/>
        </w:rPr>
        <w:t>1669.51</w:t>
      </w:r>
      <w:r>
        <w:rPr>
          <w:rFonts w:hint="eastAsia" w:ascii="仿宋_GB2312" w:hAnsi="宋体" w:eastAsia="仿宋_GB2312"/>
          <w:color w:val="auto"/>
          <w:sz w:val="32"/>
          <w:szCs w:val="32"/>
        </w:rPr>
        <w:t>万元）。</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ind w:firstLine="640" w:firstLineChars="200"/>
        <w:rPr>
          <w:rFonts w:hint="eastAsia" w:ascii="仿宋" w:hAnsi="仿宋" w:eastAsia="仿宋"/>
          <w:b/>
          <w:sz w:val="32"/>
          <w:szCs w:val="32"/>
        </w:rPr>
      </w:pPr>
      <w:r>
        <w:rPr>
          <w:rFonts w:hint="eastAsia" w:ascii="仿宋" w:hAnsi="仿宋" w:eastAsia="仿宋"/>
          <w:b/>
          <w:sz w:val="32"/>
          <w:szCs w:val="32"/>
        </w:rPr>
        <w:t>三、2019年度机关运行安排情况说明</w:t>
      </w:r>
    </w:p>
    <w:p>
      <w:pPr>
        <w:adjustRightInd w:val="0"/>
        <w:ind w:firstLine="640" w:firstLineChars="200"/>
        <w:jc w:val="left"/>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石家庄市鹿泉区文体旅游局部门2019年日常公用经费123.70万元，公务用车运行费8.1万元。</w:t>
      </w:r>
    </w:p>
    <w:p>
      <w:pPr>
        <w:numPr>
          <w:ilvl w:val="0"/>
          <w:numId w:val="2"/>
        </w:numPr>
        <w:ind w:firstLine="628" w:firstLineChars="196"/>
        <w:rPr>
          <w:rFonts w:hint="eastAsia" w:ascii="仿宋" w:hAnsi="仿宋" w:eastAsia="仿宋" w:cs="宋体"/>
          <w:b/>
          <w:color w:val="000000"/>
          <w:kern w:val="0"/>
          <w:sz w:val="32"/>
          <w:szCs w:val="32"/>
        </w:rPr>
      </w:pPr>
      <w:r>
        <w:rPr>
          <w:rFonts w:hint="eastAsia" w:ascii="仿宋" w:hAnsi="仿宋" w:eastAsia="仿宋" w:cs="宋体"/>
          <w:b/>
          <w:color w:val="000000"/>
          <w:kern w:val="0"/>
          <w:sz w:val="32"/>
          <w:szCs w:val="32"/>
        </w:rPr>
        <w:t>鹿泉区财政拨款“三公”经费预算说明及增减情况</w:t>
      </w:r>
    </w:p>
    <w:p>
      <w:pPr>
        <w:adjustRightInd w:val="0"/>
        <w:ind w:firstLine="640" w:firstLineChars="200"/>
        <w:jc w:val="left"/>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我部门2019年三公经费预算总计为8.1万元，与去年持平，无增减变化，具体是：</w:t>
      </w:r>
    </w:p>
    <w:p>
      <w:pPr>
        <w:adjustRightInd w:val="0"/>
        <w:ind w:firstLine="640" w:firstLineChars="200"/>
        <w:jc w:val="left"/>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1、因公出国（境）经费</w:t>
      </w:r>
    </w:p>
    <w:p>
      <w:pPr>
        <w:adjustRightInd w:val="0"/>
        <w:ind w:firstLine="640" w:firstLineChars="200"/>
        <w:jc w:val="left"/>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2019年石家庄市鹿泉区文体旅游局未制定的出国计划，拟安排出国境组0次，出国境0人，安排出国（境）经费预算0万元，与2018年持平，无增减变化。</w:t>
      </w:r>
    </w:p>
    <w:p>
      <w:pPr>
        <w:adjustRightInd w:val="0"/>
        <w:ind w:firstLine="640" w:firstLineChars="200"/>
        <w:jc w:val="left"/>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2、公务接待费</w:t>
      </w:r>
    </w:p>
    <w:p>
      <w:pPr>
        <w:adjustRightInd w:val="0"/>
        <w:ind w:firstLine="640" w:firstLineChars="200"/>
        <w:jc w:val="left"/>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2019年石家庄市鹿泉区文体旅游局安排公务接待费0万元，与2018年持平，无增减变化。</w:t>
      </w:r>
    </w:p>
    <w:p>
      <w:pPr>
        <w:adjustRightInd w:val="0"/>
        <w:ind w:firstLine="640" w:firstLineChars="200"/>
        <w:jc w:val="left"/>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3、公务用车购置及运行维护费</w:t>
      </w:r>
    </w:p>
    <w:p>
      <w:pPr>
        <w:adjustRightInd w:val="0"/>
        <w:ind w:firstLine="640" w:firstLineChars="200"/>
        <w:jc w:val="left"/>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2019年石家庄市鹿泉区文体旅游局安排公车购置及运行维护费8.1万元，其中：购置经费0万元、运行维护费8.1万元，与去年持平，无增减变化。我单位共有公务用车2辆，其中：轿车1辆，执法车1辆。</w:t>
      </w:r>
    </w:p>
    <w:p>
      <w:pPr>
        <w:widowControl/>
        <w:spacing w:line="580" w:lineRule="atLeast"/>
        <w:ind w:firstLine="628" w:firstLineChars="196"/>
        <w:rPr>
          <w:rFonts w:hint="eastAsia" w:ascii="仿宋" w:hAnsi="仿宋" w:eastAsia="仿宋" w:cs="宋体"/>
          <w:b/>
          <w:kern w:val="0"/>
          <w:sz w:val="32"/>
          <w:szCs w:val="32"/>
        </w:rPr>
      </w:pPr>
      <w:r>
        <w:rPr>
          <w:rFonts w:hint="eastAsia" w:ascii="仿宋" w:hAnsi="仿宋" w:eastAsia="仿宋" w:cs="宋体"/>
          <w:b/>
          <w:kern w:val="0"/>
          <w:sz w:val="32"/>
          <w:szCs w:val="32"/>
        </w:rPr>
        <w:t>五、绩效预算信息</w:t>
      </w:r>
    </w:p>
    <w:p>
      <w:pPr>
        <w:adjustRightInd w:val="0"/>
        <w:ind w:firstLine="640" w:firstLineChars="200"/>
        <w:jc w:val="left"/>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一)管理和指导全县文化建设，推进文化发展环境能力建设，提供公共文化服务、文化艺术资源建设和文化艺术生产。发展环境健康向上，文化发展能力不断增强，文化艺术资源丰富，公共文化服务和文化艺术生产水平不断提高，河北文化影响力日益扩大。</w:t>
      </w:r>
    </w:p>
    <w:p>
      <w:pPr>
        <w:adjustRightInd w:val="0"/>
        <w:ind w:firstLine="640" w:firstLineChars="200"/>
        <w:jc w:val="left"/>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二）推动全县各级文化服务机构，建立公共文化公共文化设施达标，机构和队伍健全，实现公共文化资源共享，形成城乡一体公共文化服务网络；公共文化产品生产和服务能力提高，基本公共文化服务标准化、均等化水平不断提高。资源共享机制，健全公共文化服务网络。推广图书馆数字化建设和资源共享，收藏整理各类图书，资料，每年定期开展基础编目培训，古籍培训，中图分类法培训，参考咨询培训。组织开展群众文化艺术理论研究与学术讨论活动，编辑出版音乐、舞蹈、戏剧、美术、摄影等文艺报刊，开展对外群众文艺活动. 指导、推动文化艺术创作生产和展览展示，组织举办各类文化艺术活动。组织开展非物质文化保护工作；组织实施优秀民族文化的传承普及工作。 对城乡特色鲜明的艺术形式和文化活动进行扶持和保护，推动特色文化传承发扬。指导全区广播电影电视和信息网络视听节目服务科技工作，负责监管全县广播电影电视节目传输、监测和安全播出，指导督查全县广播电影电视安全运行工作。</w:t>
      </w:r>
    </w:p>
    <w:p>
      <w:pPr>
        <w:adjustRightInd w:val="0"/>
        <w:ind w:firstLine="640" w:firstLineChars="200"/>
        <w:jc w:val="left"/>
        <w:rPr>
          <w:rFonts w:ascii="仿宋" w:hAnsi="仿宋" w:eastAsia="仿宋"/>
          <w:color w:val="FF0000"/>
          <w:sz w:val="28"/>
          <w:szCs w:val="24"/>
        </w:rPr>
      </w:pPr>
      <w:r>
        <w:rPr>
          <w:rFonts w:hint="eastAsia" w:ascii="仿宋_GB2312" w:hAnsi="宋体" w:eastAsia="仿宋_GB2312"/>
          <w:color w:val="auto"/>
          <w:sz w:val="32"/>
          <w:szCs w:val="32"/>
          <w:lang w:val="en-US" w:eastAsia="zh-CN"/>
        </w:rPr>
        <w:t>（三）负责全区旅游统计工作；负责全区旅游资源普查、登记、整理和旅游资源保护工作；承担全区旅游产业总体规划及单项规划的编制工作；制定全区旅游资源开发建设计划并组织实施，指导各类旅游建设项目，负责老景区的升级改造及新景区规划建设改造；对符合条件景区开展A级景区报批、评定、复核工作；负责全区乡村旅游、工业旅游谋划开发及工、农业旅游示范点申报、监督、改造；负责省、市星级农家乐申报评定工作；协助省、市旅游局增设旅游交通标志指示牌，进行统计上报、堪位定界工作；负责全区旅游项目建设进度统计上报工作；指导旅游商品开发工作；完善旅游规划体系，规划引领全区旅游业发展。引导撬动更多社会资金投资旅游产业，推动旅游与相关产业融合发展，为打造本区旅游升级版提供项目支撑，创建具有较强知名度、美誉度和影响力的旅游目的地体系。完成国家和省、市委市政府既定的工作目标；实施有效提升全区旅游的知名度、吸引力，扩大全区旅游品牌形象的影响力，吸引更多游客来我区旅游观光。做好全区非物质文化遗产普查、抢救、保护工作；组织好非遗代表项目申报和评审工作；做好传统文化资源、民间工艺保护开发完善的、标准的可移动文物信息是普查工作的主要成果，对可移动文物信息的采集和统一登录国家信息平台式完成普查工作的主要内容，各省属国有单位要按照《馆藏文物登录规范》对其收藏的可移动文物信息进行逐一采集和登录，做到应采尽采，应录尽录。可移动文物（以收藏编号为基础）信息的数量是衡量绩效的指标。</w:t>
      </w:r>
    </w:p>
    <w:p>
      <w:pPr>
        <w:ind w:firstLine="630" w:firstLineChars="196"/>
        <w:jc w:val="left"/>
        <w:outlineLvl w:val="0"/>
        <w:rPr>
          <w:rFonts w:hint="eastAsia" w:ascii="仿宋_GB2312" w:hAnsi="宋体" w:eastAsia="仿宋_GB2312"/>
          <w:b/>
          <w:sz w:val="32"/>
          <w:szCs w:val="32"/>
        </w:rPr>
      </w:pPr>
    </w:p>
    <w:p>
      <w:pPr>
        <w:jc w:val="left"/>
        <w:outlineLvl w:val="0"/>
        <w:rPr>
          <w:rFonts w:ascii="仿宋_GB2312" w:hAnsi="宋体" w:eastAsia="仿宋_GB2312"/>
          <w:b/>
          <w:sz w:val="32"/>
          <w:szCs w:val="32"/>
        </w:rPr>
        <w:sectPr>
          <w:pgSz w:w="11906" w:h="16838"/>
          <w:pgMar w:top="1440" w:right="1077" w:bottom="1440" w:left="1077" w:header="851" w:footer="992" w:gutter="0"/>
          <w:cols w:space="720" w:num="1"/>
          <w:docGrid w:linePitch="312" w:charSpace="0"/>
        </w:sectPr>
      </w:pPr>
    </w:p>
    <w:p>
      <w:pPr>
        <w:jc w:val="center"/>
        <w:outlineLvl w:val="0"/>
        <w:rPr>
          <w:rFonts w:hint="eastAsia" w:ascii="方正小标宋_GBK" w:eastAsia="方正小标宋_GBK"/>
          <w:b/>
          <w:sz w:val="32"/>
        </w:rPr>
      </w:pPr>
      <w:bookmarkStart w:id="1" w:name="_Toc508269975"/>
      <w:r>
        <w:rPr>
          <w:rFonts w:hint="eastAsia" w:ascii="方正小标宋_GBK" w:eastAsia="方正小标宋_GBK"/>
          <w:b/>
          <w:sz w:val="32"/>
        </w:rPr>
        <w:t>部门职责-工作活动绩效目标</w:t>
      </w:r>
      <w:bookmarkEnd w:id="1"/>
    </w:p>
    <w:tbl>
      <w:tblPr>
        <w:tblStyle w:val="13"/>
        <w:tblW w:w="1393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41"/>
        <w:gridCol w:w="1276"/>
        <w:gridCol w:w="2976"/>
        <w:gridCol w:w="2976"/>
        <w:gridCol w:w="1417"/>
        <w:gridCol w:w="737"/>
        <w:gridCol w:w="737"/>
        <w:gridCol w:w="737"/>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0986" w:type="dxa"/>
            <w:gridSpan w:val="5"/>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小标宋_GBK" w:eastAsia="方正小标宋_GBK"/>
                <w:sz w:val="24"/>
              </w:rPr>
            </w:pPr>
            <w:r>
              <w:rPr>
                <w:rFonts w:ascii="方正小标宋_GBK" w:eastAsia="方正小标宋_GBK"/>
                <w:sz w:val="24"/>
              </w:rPr>
              <w:t>357</w:t>
            </w:r>
            <w:r>
              <w:rPr>
                <w:rFonts w:hint="eastAsia" w:ascii="方正小标宋_GBK" w:eastAsia="方正小标宋_GBK"/>
                <w:sz w:val="24"/>
              </w:rPr>
              <w:t>石家庄市鹿泉区文体旅游局</w:t>
            </w:r>
          </w:p>
        </w:tc>
        <w:tc>
          <w:tcPr>
            <w:tcW w:w="2948" w:type="dxa"/>
            <w:gridSpan w:val="4"/>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sz w:val="24"/>
              </w:rPr>
            </w:pPr>
            <w:r>
              <w:rPr>
                <w:rFonts w:hint="eastAsia" w:ascii="方正书宋_GBK" w:eastAsia="方正书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职责活动</w:t>
            </w:r>
          </w:p>
        </w:tc>
        <w:tc>
          <w:tcPr>
            <w:tcW w:w="12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年度预算数</w:t>
            </w:r>
          </w:p>
        </w:tc>
        <w:tc>
          <w:tcPr>
            <w:tcW w:w="29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内容描述</w:t>
            </w:r>
          </w:p>
        </w:tc>
        <w:tc>
          <w:tcPr>
            <w:tcW w:w="29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1417"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w:t>
            </w:r>
          </w:p>
        </w:tc>
        <w:tc>
          <w:tcPr>
            <w:tcW w:w="2948" w:type="dxa"/>
            <w:gridSpan w:val="4"/>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评价标准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continue"/>
            <w:shd w:val="clear" w:color="auto" w:fill="auto"/>
            <w:vAlign w:val="center"/>
          </w:tcPr>
          <w:p>
            <w:pPr>
              <w:spacing w:line="300" w:lineRule="exact"/>
              <w:jc w:val="left"/>
              <w:outlineLvl w:val="0"/>
            </w:pPr>
          </w:p>
        </w:tc>
        <w:tc>
          <w:tcPr>
            <w:tcW w:w="1276" w:type="dxa"/>
            <w:vMerge w:val="continue"/>
            <w:shd w:val="clear" w:color="auto" w:fill="auto"/>
            <w:vAlign w:val="center"/>
          </w:tcPr>
          <w:p>
            <w:pPr>
              <w:spacing w:line="300" w:lineRule="exact"/>
              <w:jc w:val="left"/>
              <w:outlineLvl w:val="0"/>
            </w:pPr>
          </w:p>
        </w:tc>
        <w:tc>
          <w:tcPr>
            <w:tcW w:w="2976" w:type="dxa"/>
            <w:vMerge w:val="continue"/>
            <w:shd w:val="clear" w:color="auto" w:fill="auto"/>
            <w:vAlign w:val="center"/>
          </w:tcPr>
          <w:p>
            <w:pPr>
              <w:spacing w:line="300" w:lineRule="exact"/>
              <w:jc w:val="left"/>
              <w:outlineLvl w:val="0"/>
            </w:pPr>
          </w:p>
        </w:tc>
        <w:tc>
          <w:tcPr>
            <w:tcW w:w="2976" w:type="dxa"/>
            <w:vMerge w:val="continue"/>
            <w:shd w:val="clear" w:color="auto" w:fill="auto"/>
            <w:vAlign w:val="center"/>
          </w:tcPr>
          <w:p>
            <w:pPr>
              <w:spacing w:line="300" w:lineRule="exact"/>
              <w:jc w:val="left"/>
              <w:outlineLvl w:val="0"/>
            </w:pPr>
          </w:p>
        </w:tc>
        <w:tc>
          <w:tcPr>
            <w:tcW w:w="1417" w:type="dxa"/>
            <w:vMerge w:val="continue"/>
            <w:shd w:val="clear" w:color="auto" w:fill="auto"/>
            <w:vAlign w:val="center"/>
          </w:tcPr>
          <w:p>
            <w:pPr>
              <w:spacing w:line="300" w:lineRule="exact"/>
              <w:jc w:val="left"/>
              <w:outlineLvl w:val="0"/>
            </w:pP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优</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良</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中</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一、文化艺术管理</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147.70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管理和指导全区文化建设，推进文化发展环境能力建设，提供公共文化服务、文化艺术资源建设和文化艺术生产。</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文化发展环境健康向上，文化发展能力不断增强，文化艺术资源丰富，公共文化服务和文化艺术生产水平不断提高，河北文化影响力日益扩大。</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、公共文化服务</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102.70</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推动全区各级文化服务机构，建立公共文化资源共享机制，健全公共文化服务网络。</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机构和队伍健全，实现公共文化资源共享，形成城乡一体公共文化服务网络；公共文化产品生产和服务能力提高，基本公共文化服务标准化、均等化水平不断提高。</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公共文化场馆的覆盖率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100%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公益文艺展览、演出的场场次数（次）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r>
              <w:rPr>
                <w:rFonts w:hint="eastAsia" w:ascii="方正书宋_GBK" w:eastAsia="方正书宋_GBK"/>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、文化艺术资源建设</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20.00</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推广图书馆数字化建设和资源共享。</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收藏设施设备和物品等国有资产安全完整、高效利用。</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收集品入藏完整率；</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99%</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收藏及保管物品完好率。</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99%</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仓储设施设备及环境完好率；</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99%</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、文化艺术生产</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25.00</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指导、推动文化艺术创作生产和展览展示，组织举办各类文化艺术活动。</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文化艺术作品进一步丰富，专业艺术创作生产能力和地位不断提高。</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资助原创、加工修改和巡回演出剧节目场（场）</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40</w:t>
            </w:r>
            <w:r>
              <w:rPr>
                <w:rFonts w:hint="eastAsia" w:ascii="方正书宋_GBK" w:eastAsia="方正书宋_GBK"/>
              </w:rPr>
              <w:t>场</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35</w:t>
            </w:r>
            <w:r>
              <w:rPr>
                <w:rFonts w:hint="eastAsia" w:ascii="方正书宋_GBK" w:eastAsia="方正书宋_GBK"/>
              </w:rPr>
              <w:t>场</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30</w:t>
            </w:r>
            <w:r>
              <w:rPr>
                <w:rFonts w:hint="eastAsia" w:ascii="方正书宋_GBK" w:eastAsia="方正书宋_GBK"/>
              </w:rPr>
              <w:t>场</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&lt;30</w:t>
            </w:r>
            <w:r>
              <w:rPr>
                <w:rFonts w:hint="eastAsia" w:ascii="方正书宋_GBK" w:eastAsia="方正书宋_GBK"/>
              </w:rPr>
              <w:t>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进行重点创作并进行展示的美术作品（副）</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40</w:t>
            </w:r>
            <w:r>
              <w:rPr>
                <w:rFonts w:hint="eastAsia" w:ascii="方正书宋_GBK" w:eastAsia="方正书宋_GBK"/>
              </w:rPr>
              <w:t>副</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35</w:t>
            </w:r>
            <w:r>
              <w:rPr>
                <w:rFonts w:hint="eastAsia" w:ascii="方正书宋_GBK" w:eastAsia="方正书宋_GBK"/>
              </w:rPr>
              <w:t>副</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30</w:t>
            </w:r>
            <w:r>
              <w:rPr>
                <w:rFonts w:hint="eastAsia" w:ascii="方正书宋_GBK" w:eastAsia="方正书宋_GBK"/>
              </w:rPr>
              <w:t>副</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&lt;30</w:t>
            </w:r>
            <w:r>
              <w:rPr>
                <w:rFonts w:hint="eastAsia" w:ascii="方正书宋_GBK" w:eastAsia="方正书宋_GBK"/>
              </w:rPr>
              <w:t>副</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二、文化宣传交流</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201.40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指导、组织区级优秀文化产品、服务和品牌活动宣传推介；组织全区对外文化交流活动。</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对外文化交流档次和水平提升，对外文化贸易不断发展，我区文化国内国际影响力扩大。</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、文化交流合作</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宣传推介我区文化艺术资源，提升对外交流水平。</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全方位宣传推介我区文化艺术资源，提升交流水平和档次。</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与文化机构合作场次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、文化宣传推介</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201.40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对我区文化进行综合宣传推介。</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推动更多文化项目入选世界、国家名录和扶持项目；推动更多文化项目取得大赛名次和被认知；提高县文化的影响力。</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项目申报推介（个）</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三、文化保护</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指导、组织开展文化保护工作；组织实施优秀民族文化的传承普及工作；维护国家文化安全。</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构建健全的文化保护体系，文化保护工作得到全面加强，优秀文化得到传承和发扬。</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、文化保护</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组织开展非物质文化保护工作；组织实施优秀民族文化的传承普及工作。</w:t>
            </w:r>
            <w:r>
              <w:rPr>
                <w:rFonts w:ascii="方正书宋_GBK" w:eastAsia="方正书宋_GBK"/>
              </w:rPr>
              <w:t xml:space="preserve"> </w:t>
            </w:r>
            <w:r>
              <w:rPr>
                <w:rFonts w:hint="eastAsia" w:ascii="方正书宋_GBK" w:eastAsia="方正书宋_GBK"/>
              </w:rPr>
              <w:t>对城乡特色鲜明的艺术形式和文化活动进行扶持和保护，推动特色文化传承发扬。</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珍贵、濒危的非物质文化遗产得到有效抢救和保护，优秀特色文化得到传承和发扬。</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非遗保护名录项数</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36</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26</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16</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四、文化政务管理</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87.86</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负责系统综合业务管理和机关综合事务管理。</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确保各项业务工作谋划到位、顺利开展。保障机关工作正常高效运转。</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、综合业务管理</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63.90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拟定我区文化艺术方面有关发展规划、政策制度，开展调查研究，履行文化市场监管职责，开展文化宣传、保护等业务管理工作。</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确保各项业务工作谋划到位、顺利开展。</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专项业务开展项数</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、综合事务管理</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23.96</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改善文化管理和发展硬件、软件水平；加强文化队伍和艺术教育建设；加快文化科研和信息化建设，保障机关运转。</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保障机关工作正常高效运转。</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完成行政管理工作件数</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30</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15</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15</w:t>
            </w:r>
            <w:r>
              <w:rPr>
                <w:rFonts w:hint="eastAsia" w:ascii="方正书宋_GBK" w:eastAsia="方正书宋_GBK"/>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五、新闻出版广播影视事业建设</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11.10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指导、监督、管理全区广播电影、电视和信息网络视听节目工作，负责监管全区广播电影电视节目传输、监测和安全播出，指导督查全区广播电影电视安全运行工作。</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宣传党的路线、方针、政策和工作部署，坚持正确舆论导向，发挥监督、管理作用；监督、管理各类广播电视节目；开展各类宣传工作。</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、广播影视节目制作播出</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监督、指导区有线电视台、电台制作或播出符合正确语舆论导向和符合人民群众需求的优秀电视节目。积极传达上级优秀影视作品名录。</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监督、指导区有线电视台、电台制作或播出优秀电视节目</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文化执法队督导检查次数</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15</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r>
              <w:rPr>
                <w:rFonts w:hint="eastAsia" w:ascii="方正书宋_GBK" w:eastAsia="方正书宋_GBK"/>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、广播影视节目制作能力建设</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对有线电视台、电台引进、制作的广播电视节目产权、内容、设备等方面进行监督、指导。确保广播影视节目制作符合国家法规要求。</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对有线电视台、电台引进、制作的广播电视节目产权、内容、设备方面进行监督，确保符合国家法规。</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文化执法队督导检查次数</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15</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r>
              <w:rPr>
                <w:rFonts w:hint="eastAsia" w:ascii="方正书宋_GBK" w:eastAsia="方正书宋_GBK"/>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、安全播出管理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对广播电台、电视台、有线台，在节目播出、制作、线路传输方面进行安全监督、检查、指导。</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督导、指导、检查广播电台、电视台、有线台建立健全安全播出体系，确保广播影视节目安全播出。</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文化执法队督导、检查次数</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 xml:space="preserve">20 </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 xml:space="preserve">10 </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 xml:space="preserve"> </w:t>
            </w:r>
            <w:r>
              <w:rPr>
                <w:rFonts w:hint="eastAsia" w:ascii="方正书宋_GBK" w:eastAsia="方正书宋_GBK"/>
              </w:rPr>
              <w:t>＜</w:t>
            </w:r>
            <w:r>
              <w:rPr>
                <w:rFonts w:ascii="方正书宋_GBK" w:eastAsia="方正书宋_GBK"/>
              </w:rPr>
              <w:t xml:space="preserve">5 </w:t>
            </w:r>
            <w:r>
              <w:rPr>
                <w:rFonts w:hint="eastAsia" w:ascii="方正书宋_GBK" w:eastAsia="方正书宋_GBK"/>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4</w:t>
            </w:r>
            <w:r>
              <w:rPr>
                <w:rFonts w:hint="eastAsia" w:ascii="方正书宋_GBK" w:eastAsia="方正书宋_GBK"/>
                <w:b/>
              </w:rPr>
              <w:t>、公共服务工程推广</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11.10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加快构建新闻出版广播影视公共服务体协，着力提高服务质量和实效。</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督导、检查有线广播应急预警建设。提高农村电影公共服务水平。督导农家书屋建设标准方案。</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督导、指导次数</w:t>
            </w:r>
            <w:r>
              <w:rPr>
                <w:rFonts w:ascii="方正书宋_GBK" w:eastAsia="方正书宋_GBK"/>
              </w:rPr>
              <w:t xml:space="preserve"> </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30</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 xml:space="preserve">10 </w:t>
            </w:r>
            <w:r>
              <w:rPr>
                <w:rFonts w:hint="eastAsia" w:ascii="方正书宋_GBK" w:eastAsia="方正书宋_GBK"/>
              </w:rPr>
              <w:t>次</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10</w:t>
            </w:r>
            <w:r>
              <w:rPr>
                <w:rFonts w:hint="eastAsia" w:ascii="方正书宋_GBK" w:eastAsia="方正书宋_GBK"/>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5</w:t>
            </w:r>
            <w:r>
              <w:rPr>
                <w:rFonts w:hint="eastAsia" w:ascii="方正书宋_GBK" w:eastAsia="方正书宋_GBK"/>
                <w:b/>
              </w:rPr>
              <w:t>、新闻出版广播影视产业发展</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督导、指导全区新闻出版发行单位、广播影视放映机构、广播影视制作机构在系统性、整体性、协同性方面突出融合创新发展。</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督导、指导加快推动影视产业发展，积极推动广电网络资源整合和转型升级，继续支持出版物经营机构融合发展。</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指导、座谈、调研次数</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r>
              <w:rPr>
                <w:rFonts w:hint="eastAsia" w:ascii="方正书宋_GBK" w:eastAsia="方正书宋_GBK"/>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六、政务管理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负责系统综合业务管理和机关综合事务管理。</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各项规划、工作、检查顺利开展。</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、综合业务管理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组织协调全局全系统政务工作，拟定工作规划并组织实施。做好政务公开、信息公开，对群众反映问题进行反馈。依法对所管理行业进行检查，确保行业、产业健康发展。</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各项规划、工作、检查顺利开展。</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问题反馈次数</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七、旅游综合管理科</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725.85</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负责全区旅游市场推介规划及方案制定并组织实施。监督管理全区旅游市场秩序、服务质量和旅游保险工作；贯彻落实国家、省、市旅游行业服务标准；制定全区旅游服务行业地方标准；制定全区旅游行业教育培训工作；贯彻落实旅游行业精神文明建设；受理旅游投诉；负责酒店评星、定点工作的开展。制定全区旅游市场开发规划、方案并组织实施；承担全区旅游整体形象宣传和重大节、会活动的策划及组织协调工作，组织开展重点旅游线路、旅游目的地的宣传推广；负责国内外旅游市场调研和信息工作，承担旅游对外合作交流事务；负责旅游宣传品的制作和使用管理。</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开展旅游政务宣传、形象宣传、网络宣传，投放旅游广告、组织重点旅游线路和旅游目的地的宣传推广，旅游宣传品的设计、制作；开展新闻媒体记者采访考察、实施旅行社招徕游客奖励等工作，进一步扩大我市旅游品牌形象的在境内外的影响力，吸引更多游客来我区旅游观光。</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、综合业务管理</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103.47</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指导全区旅游工作；开展旅游行业管理，负责日常监管、行业培训、从业人员资格核准工作，接受游客投诉，开展行风评议。</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开展旅游行业管理，规范旅游行为，保护旅游消费者和经营者合法权益。</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游客满意度</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、旅游宣传促销</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104.00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旅游政务及形象宣传工作。在央视、省市级主流媒体、网站投放石家庄旅游宣传，举办旅游交易会和节庆活动，制作旅游宣传品，提升旅游形象。开展旅游信息化工作及相关电子政务系统，提高政府的服务意识和公众的办事便利化水平。</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项目实施有效提升我市旅游的知名度、影响力，扩大我市旅游品牌形象的在境内外的影响力，吸引更多游客来我市旅游观光。</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旅游收入增长数</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450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、旅行社招徕游客奖励</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鼓励旅行社组织以我市为旅游目的地的经营活动，扩大我市旅游业的知名度和对游客的吸引力，使更多游客来石家庄游览休闲、度假、投资兴业，为我市第三产业增加新的活力。</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来我区为旅游目的地的组团旅行社不断增多</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游客团队增长率</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4</w:t>
            </w:r>
            <w:r>
              <w:rPr>
                <w:rFonts w:hint="eastAsia" w:ascii="方正书宋_GBK" w:eastAsia="方正书宋_GBK"/>
                <w:b/>
              </w:rPr>
              <w:t>、旅游市场开发推广及交流合作</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518.38</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策划、推广全区旅游产品及旅游线路，开展国内外旅游市场促销工作，指导支持区内各地的旅游市场开发工作。</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通过旅游市场开发推广及交流合作，有效提高全区旅游的知名度、美誉度和影响力，吸引更多游客来我县旅游，从而促进我区旅游经济又好又快发展。</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游客增长率反映来区旅游人员增长情况</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5</w:t>
            </w:r>
            <w:r>
              <w:rPr>
                <w:rFonts w:hint="eastAsia" w:ascii="方正书宋_GBK" w:eastAsia="方正书宋_GBK"/>
                <w:b/>
              </w:rPr>
              <w:t>、旅游信息化建设</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开发网上应用系统，实现旅游行业管理网络化；建设面向旅游市场的电子网络营销平台，为企业营销和游客消费提供高效便捷支持。</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通过开发全区旅游网站、微信公众账号及电子政务系统，推动全行业信息化建设，提高政府服务意识和公众办事便利化程度。</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反映游客对通过旅游信息化平台获取旅游信息的满意程度</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99%</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八、旅游规划科</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50.00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负责全区旅游统计工作；负责全区旅游资源普查、登记、整理和旅游资源保护工作；承担全区旅游产业总体规划及单项规划的编制工作；制定全区旅游资源开发建设计划并组织实施，指导各类旅游建设项目，负责老景区的升级改造及新景区规划建设改造；对符合条件景区开展</w:t>
            </w:r>
            <w:r>
              <w:rPr>
                <w:rFonts w:ascii="方正书宋_GBK" w:eastAsia="方正书宋_GBK"/>
              </w:rPr>
              <w:t>A</w:t>
            </w:r>
            <w:r>
              <w:rPr>
                <w:rFonts w:hint="eastAsia" w:ascii="方正书宋_GBK" w:eastAsia="方正书宋_GBK"/>
              </w:rPr>
              <w:t>级景区报批、评定、复核工作；负责全区乡村旅游、工业旅游谋划开发及工、农业旅游示范点申报、监督、改造；负责省、市星级农家乐申报评定工作；协助省、市旅游局增设旅游交通标志指示牌，进行统计上报、堪位定界工作；负责全区旅游项目建设进度统计上报工作；指导旅游商品开发工作；</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完善旅游规划体系，规划引领全区旅游业发展。引导撬动更多社会资金投资旅游产业，推动旅游与相关产业融合发展，为打造本区旅游升级版提供项目支撑，创建具有较强知名度、美誉度和影响力的旅游目的地体系。完成国家和省、市委市政府既定的工作目标；实施有效提升全区旅游的知名度、吸引力，扩大全区旅游品牌形象的影响力，吸引更多游客来我区旅游观光。</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、旅游重点项目建设及旅游商品开发</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负责全区旅游项目包装、推介、招商引资、项目建设进展督导落实工作；负责全区旅游公共服务体系与自助旅游体系建设；指导全区旅游商品开发、建设、扶持工作；引导旅游业社会投资，提高资金使用效益。负责景区（点）质量等级评定及管理。</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引导撬动更多社会资金投资旅游产业，推动旅游与相关产业融合发展，为打造本区旅游升级版提供项目支撑，创建具有较强知名度、美誉度和影响力的旅游目的地体系。</w:t>
            </w:r>
          </w:p>
        </w:tc>
        <w:tc>
          <w:tcPr>
            <w:tcW w:w="1417" w:type="dxa"/>
            <w:shd w:val="clear" w:color="auto" w:fill="auto"/>
            <w:vAlign w:val="center"/>
          </w:tcPr>
          <w:p>
            <w:pPr>
              <w:spacing w:line="300" w:lineRule="exact"/>
              <w:jc w:val="left"/>
              <w:rPr>
                <w:rFonts w:hint="eastAsia" w:ascii="方正书宋_GBK" w:eastAsia="方正书宋_GBK"/>
              </w:rPr>
            </w:pPr>
            <w:r>
              <w:rPr>
                <w:rFonts w:ascii="方正书宋_GBK" w:eastAsia="方正书宋_GBK"/>
              </w:rPr>
              <w:t>A</w:t>
            </w:r>
            <w:r>
              <w:rPr>
                <w:rFonts w:hint="eastAsia" w:ascii="方正书宋_GBK" w:eastAsia="方正书宋_GBK"/>
              </w:rPr>
              <w:t>级景区游客接待量增长率</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、工农业旅游项目</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50.00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推进旅游业与工业、农业的融合发展步伐，在全市筛选一批有代表性、市场吸引力强、发展潜力大的工农业旅游点和星级农家乐，集中进行旅游基础及服务设施建设完善，提升旅游服务品质，更好的为广大游客服务。</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打造出一批工农业旅游精品景点和适宜普通市民消费水平的优质农家乐，丰富我区旅游产品，提升旅游服务品质。扩大农民就业渠道，带动农民脱贫致富，带动工业、农业产业结构调整。</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反映旅游收入增长情况</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九、旅游规划</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328.60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负责全区旅游统计工作；负责全区旅游资源普查、登记、整理和旅游资源保护工作；承担全区旅游产业总体规划及单项规划的编制工作；制定全区旅游资源开发建设计划并组织实施，指导各类旅游建设项目，负责老景区的升级改造及新景区规划建设改造；对符合条件景区开展</w:t>
            </w:r>
            <w:r>
              <w:rPr>
                <w:rFonts w:ascii="方正书宋_GBK" w:eastAsia="方正书宋_GBK"/>
              </w:rPr>
              <w:t>A</w:t>
            </w:r>
            <w:r>
              <w:rPr>
                <w:rFonts w:hint="eastAsia" w:ascii="方正书宋_GBK" w:eastAsia="方正书宋_GBK"/>
              </w:rPr>
              <w:t>级景区报批、评定、复核工作；负责全区乡村旅游、工业旅游谋划开发及工、农业旅游示范点申报、监督、改造；负责省、市星级农家乐申报评定工作；协助省、市旅游局增设旅游交通标志指示牌，进行统计上报、堪位定界工作；负责全区旅游项目建设进度统计上报工作；指导旅游商品开发工作。</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完善旅游规划体系，规划引领全区旅游业发展。引导撬动更多社会资金投资旅游产业，推动旅游与相关产业融合发展，为打造本区旅游升级版提供项目支撑，创建具有较强知名度、美誉度和影响力的旅游目的地体系。完成国家和省、市委市政府既定的工作目标；实施有效提升全区旅游的知名度、吸引力，扩大全区旅游品牌形象的影响力，吸引更多游客来我区旅游观光。</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、旅游产业总体规划及单项规划的编制</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136.60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组织全区旅游资源普查、规划、开发和相关保护。</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完善旅游规划体系，规划引领全区旅游业发展。</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精品旅游项目建设个数</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、旅游基础配套设施</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192.00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道路交通标志牌，集中进行旅游基础及服务设施建设完善。</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提升旅游服务品质</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建设旅游标示系统，落实厕所革命推进厕所省级改造。</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、专项资金的申报及监管工作</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负责对国家、省、市旅游专项资金的申报、发放及监管工作。</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申报监管旅游专线资金使用，积极与上级沟通，按照申报要求开展国家、省、市专项资金申报工作。</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资金使用率</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十、综合政务管理</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60.00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保障机关及下属单位正常运转；开展办公综合平台建设与维护工作，组织节能减排、车辆运行与管理、设备购置和管理、机关消防安全与保卫、机关办公环境建设与维护等后勤服务，承办市政府交办其他事项。</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提升保障能力及管理水平，完成各项工作任务。</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、机关基本设施设备正常运转</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60.00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保证机关基础设施设备安全和正常运作，定期开展设施设备维护、检修，机关事务后期保障到位，设备设施使用寿命达标，改善机关基本设施设备运转环境，使机关人员满意。</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机关事务后期保障到位，设备设施使用寿命延长，环境改善，使机关人员满意。</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机关基本设施设备定期维护、更换、保养、维修次数。</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十一、保存文化遗产</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积极保护物质文化遗产和非物质文化遗产。积极保护具有历史、艺术和科学价值的文物，包括古遗址、古墓葬、古建筑、石窟寺、石刻、壁画、近代现代重要史迹及代表性建筑等不可移动文物，历史上各时代的重要实物、艺术品、文献、手稿、图书资料等可移动文物。积极探索保护各种以非物质形态存在的与群众生活密切相关、世代相承的传统文化表现形式，包括口头传统、传统表演艺术、民俗活动和礼仪与节庆、有关自然界和宇宙的民间传统知识和实践、传统手工艺技能等以及与上述传统文化表现形式相关的文化遗产。</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积极保护、保存相应物质文化资料和传承非物质文化遗产。</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、保护文化遗产</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积极保护物质文化遗产和非物质文化遗产。积极保护具有历史、艺术和科学价值的文物，包括古遗址、古墓葬、古建筑、石窟寺、石刻、壁画、近代现代重要史迹及代表性建筑等不可移动文物，历史上各时代的重要实物、艺术品、文献、手稿、图书资料等可移动文物。积极探索保护各种以非物质形态存在的与群众生活密切相关、世代相承的传统文化表现形式，包括口头传统、传统表演艺术、民俗活动和礼仪与节庆、有关自然界和宇宙的民间传统知识和实践、传统手工艺技能等以及与上述传统文化表现形式相关的文化遗产。</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保护物质文化遗产和非物质文化遗产。</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开展工作次数</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 xml:space="preserve">1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十二、地方文献搜集整理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保存及保护地方文献</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使地方文献得以重视；发挥地方文献在地方建设中的作用。</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、地方文献搜集及整理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收集整理本地区书籍、报刊、科技报告、地域图、画册、印谱、相册、乐谱、文告、传单、商标、戏剧、专业检索、参考以及音像磁带等</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以图书馆为主体重点收集、整理地方文献</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收集整理地方文献数量</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 xml:space="preserve">30 </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十三、日常借阅</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提供图书、刊物、报纸等的借阅及阅览。</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传递科学知识信息。满足读者的精神文化生活的需求。</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、书刊借阅</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图书、刊物的日常借阅；报刊日常阅览；资料查询等。</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满足读者的阅读需求</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满足借阅需求，完成借阅工作</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w:t>
            </w:r>
            <w:r>
              <w:rPr>
                <w:rFonts w:hint="eastAsia" w:ascii="方正书宋_GBK" w:eastAsia="方正书宋_GBK"/>
              </w:rPr>
              <w:t>万人次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3.5</w:t>
            </w:r>
            <w:r>
              <w:rPr>
                <w:rFonts w:hint="eastAsia" w:ascii="方正书宋_GBK" w:eastAsia="方正书宋_GBK"/>
              </w:rPr>
              <w:t>万人次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w:t>
            </w:r>
            <w:r>
              <w:rPr>
                <w:rFonts w:hint="eastAsia" w:ascii="方正书宋_GBK" w:eastAsia="方正书宋_GBK"/>
              </w:rPr>
              <w:t>万人次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w:t>
            </w:r>
            <w:r>
              <w:rPr>
                <w:rFonts w:hint="eastAsia" w:ascii="方正书宋_GBK" w:eastAsia="方正书宋_GBK"/>
              </w:rPr>
              <w:t>万人次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十四、文化信息资源共享</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利用现代化信息技术及设备，为读者提供电子文献阅览、互联网查询浏览等服务。</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充分发挥好</w:t>
            </w:r>
            <w:r>
              <w:rPr>
                <w:rFonts w:hint="cs" w:ascii="方正书宋_GBK" w:eastAsia="方正书宋_GBK"/>
              </w:rPr>
              <w:t>“</w:t>
            </w:r>
            <w:r>
              <w:rPr>
                <w:rFonts w:hint="eastAsia" w:ascii="方正书宋_GBK" w:eastAsia="方正书宋_GBK"/>
              </w:rPr>
              <w:t>信息资源共享工程</w:t>
            </w:r>
            <w:r>
              <w:rPr>
                <w:rFonts w:hint="cs" w:ascii="方正书宋_GBK" w:eastAsia="方正书宋_GBK"/>
              </w:rPr>
              <w:t>”</w:t>
            </w:r>
            <w:r>
              <w:rPr>
                <w:rFonts w:hint="eastAsia" w:ascii="方正书宋_GBK" w:eastAsia="方正书宋_GBK"/>
              </w:rPr>
              <w:t>的作用</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、文化信息资源共享及电子阅览</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利用</w:t>
            </w:r>
            <w:r>
              <w:rPr>
                <w:rFonts w:hint="cs" w:ascii="方正书宋_GBK" w:eastAsia="方正书宋_GBK"/>
              </w:rPr>
              <w:t>“</w:t>
            </w:r>
            <w:r>
              <w:rPr>
                <w:rFonts w:hint="eastAsia" w:ascii="方正书宋_GBK" w:eastAsia="方正书宋_GBK"/>
              </w:rPr>
              <w:t>文化信息资源共享工程</w:t>
            </w:r>
            <w:r>
              <w:rPr>
                <w:rFonts w:hint="cs" w:ascii="方正书宋_GBK" w:eastAsia="方正书宋_GBK"/>
              </w:rPr>
              <w:t>”</w:t>
            </w:r>
            <w:r>
              <w:rPr>
                <w:rFonts w:hint="eastAsia" w:ascii="方正书宋_GBK" w:eastAsia="方正书宋_GBK"/>
              </w:rPr>
              <w:t>及互联网为读者提供信息查询。</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满足读者的信息需求</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年服务人次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3000</w:t>
            </w:r>
            <w:r>
              <w:rPr>
                <w:rFonts w:hint="eastAsia" w:ascii="方正书宋_GBK" w:eastAsia="方正书宋_GBK"/>
              </w:rPr>
              <w:t>人次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2500</w:t>
            </w:r>
            <w:r>
              <w:rPr>
                <w:rFonts w:hint="eastAsia" w:ascii="方正书宋_GBK" w:eastAsia="方正书宋_GBK"/>
              </w:rPr>
              <w:t>人次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2000</w:t>
            </w:r>
            <w:r>
              <w:rPr>
                <w:rFonts w:hint="eastAsia" w:ascii="方正书宋_GBK" w:eastAsia="方正书宋_GBK"/>
              </w:rPr>
              <w:t>人次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2000</w:t>
            </w:r>
            <w:r>
              <w:rPr>
                <w:rFonts w:hint="eastAsia" w:ascii="方正书宋_GBK" w:eastAsia="方正书宋_GBK"/>
              </w:rPr>
              <w:t>人次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十五、读者活动</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不定期开展针对读者的家庭教育讲座、老年保健知识讲座、爱国主义教育讲座、科普讲座等；图片展、书画展等</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培养群众的阅读兴趣，提高广大群众的精神文明素质。</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、家庭教育讲座、老年保健知识讲座、爱国主义教育讲座、科普讲座、图片展、书画展</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针对不同的读者群，适时开展家庭教育讲座、老年保健知识讲座、爱国主义教育讲座、科普讲座、图片展、书画展等活动</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提高群众的精神文明素质</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年举办次数</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十六、送书下乡</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赠送受当地群众欢迎的书籍；发放群众急需的农业科技信息资料。</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满足偏远村镇群众对精神文化生活和农业科技信息的需求</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、送书下乡</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深入到离图书馆较远的乡镇、村，赠送受当地群众欢迎的书籍；发放群众急需的农业科技信息资料。</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满足偏远地区群众对图书资料的需求</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年活动次数</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十七、基层业务指导</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适时地对基层图书馆（室）进行业务指导。</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建立健全基层图书室建设，更好地服务群众。</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、业务指导</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适时地对基层图书馆（室）的图书采编、上架、借阅，及信息资源共享等工作进行指导。</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基层图书室的服务工作正常开展</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年活动次数</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十八、馆际互借</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设立</w:t>
            </w:r>
            <w:r>
              <w:rPr>
                <w:rFonts w:hint="cs" w:ascii="方正书宋_GBK" w:eastAsia="方正书宋_GBK"/>
              </w:rPr>
              <w:t>“</w:t>
            </w:r>
            <w:r>
              <w:rPr>
                <w:rFonts w:hint="eastAsia" w:ascii="方正书宋_GBK" w:eastAsia="方正书宋_GBK"/>
              </w:rPr>
              <w:t>石家庄市图书馆鹿泉区分馆</w:t>
            </w:r>
            <w:r>
              <w:rPr>
                <w:rFonts w:hint="cs" w:ascii="方正书宋_GBK" w:eastAsia="方正书宋_GBK"/>
              </w:rPr>
              <w:t>”</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丰富本馆图书种类，更大化地满足读者阅读需求。</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、鹿泉区分馆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不定期从石家庄市图书馆分配图书，及时整理上架、开展日常借阅。</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更大化地满足读者阅读需求</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定期更新图书率</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97%</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十九、宣传教育</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5.00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举办各类展览、讲座、培训等，普及科学文化知识，开展社会教育</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宣传先进文化优秀文化，，提高群众文化素质，促进当地精神文明建设</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、文化艺术展览</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5.00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举办各种文艺展演活动，广泛宣传优秀文化艺术。</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提高人民文化素质，宣传优秀文化</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指导组织开展大型文艺宣传活动</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二十、丰富群众文化生活</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公益文化服务，组织举办各种群众文化活动、培训和辅导。</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满足群众精神文化生活需求</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、免费开放文艺活动场所</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拟订群众文化活动发展规划并落实实施</w:t>
            </w:r>
            <w:r>
              <w:rPr>
                <w:rFonts w:ascii="方正书宋_GBK" w:eastAsia="方正书宋_GBK"/>
              </w:rPr>
              <w:t>,</w:t>
            </w:r>
            <w:r>
              <w:rPr>
                <w:rFonts w:hint="eastAsia" w:ascii="方正书宋_GBK" w:eastAsia="方正书宋_GBK"/>
              </w:rPr>
              <w:t>文艺活动的策划和举办，各种文艺辅导班课程，内容、教师。场地的安排等。</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丰富群众文化生活</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全年免费开放总天数</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160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二十一、保护民间文化遗产</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5.00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拟订当地非物质文化遗产抢救保护技术标准和工作规范组织实施当地非物质文化遗产保护规划；承担当地非物质文化遗产普查；保护和名录申报及数据库建设；</w:t>
            </w:r>
          </w:p>
          <w:p>
            <w:pPr>
              <w:spacing w:line="300" w:lineRule="exact"/>
              <w:jc w:val="left"/>
              <w:rPr>
                <w:rFonts w:hint="eastAsia" w:ascii="方正书宋_GBK" w:eastAsia="方正书宋_GBK"/>
              </w:rPr>
            </w:pPr>
            <w:r>
              <w:rPr>
                <w:rFonts w:hint="eastAsia" w:ascii="方正书宋_GBK" w:eastAsia="方正书宋_GBK"/>
              </w:rPr>
              <w:t>承担非物质文化遗产的宣传、交流、业务培训等任务。</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挖掘当地非物质文化遗产项目，搜集、整理当地优秀非物质文化遗产项目，对非物质文化遗产项目进行传承和保护工作。</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、非遗保护传承</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5.00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搜集、挖掘、整理、保护、宣传物质文化遗产和非物质文化遗产。向上一级部门申报文化遗产保护项目，并对非遗项目采取必要的保护措施。</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搜集、挖掘、整理、保护、宣传物质文化遗产和非物质文化遗产</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有效开展保护工作，积极发掘、抢救、宣传物质文化遗产和非物质文化遗产。组织物质文化遗产和非物质文化遗产项目展演活动次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二十二、培训文艺人才</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指导群众业余文艺团队建设，辅导和培训群众文艺骨干。</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为广大人民群众提供良好的文艺辅导服务，提高群众的文艺水平。</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、免费举办文艺培训</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定期举办基层文化站群众艺术骨干舞蹈培训班</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为人民提供文化艺术辅导培训</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为广大人民群众提供良好的文艺辅导服务，提高群众的文艺水平。</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二十三、组织文艺创作</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组织文艺创作人才进行文艺创作</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制定辅导文艺创作计划并具体落实实施，向上级输送文艺创作人才，对文艺人才进行培训。加强地区文艺创作和交流，繁荣本地文艺发展。</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、创作优秀文艺作品</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定期组织文学艺术交流活动，定期举办绘画艺术展览活动。</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创作优秀文艺作品</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向上级输送文艺创作人才和文艺作品</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二十四、依法进行文物保护管理</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5.00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对全区地上地下文物依法实施保护管理。建立和健全安全检查、监督机制，安防工作条例。</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建立和健全安全检查、监督机制，加强全区文物保护单位的消防安防工作，确保文物安全。</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、做好对文物保护单位安全消防工作；文物保护管理，责任到人。</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5.00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与文物保护单位签订安全保护责任书，在重点文物保护单位安装监控、消防设施。经常巡查，发现问题立即处理，对违法行为坚决制止。</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把全区文物安全风险降到最低点。</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对田野不可移动文物单位聘请文物看护员，给予适当的保护费，对文物保护单位重点部位，增设监控探头、报警、消防安全设施。</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二十五、文物普查</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采取统一组织，由专业部门利用现代信息手段集中调查统计的方式，对可移动文物、不可移动文物进行调查、认定和登记，掌握文物现状等基本信息，为科学制定文物保护政策和规划提供依据。</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在上级部门采取统一组织，由专业部门利用现代信息手段集中调查统计的方式，对可移动文物、不可移动文物进行调查、认定和登记，掌握文物现状等基本信息，为科学制定文物保护政策和规划提供依据。</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、做好可移动文物普查工作</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对可移动文物信息的采集和统一登录国家信息平台式完成普查工作的主要内容，对其收藏的可移动文物信息进行逐一采集和登录，做到应采尽采，应录尽录。可移动文物（以收藏编号为基础）信息的数量是衡量绩效的指标。</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高标准高质量完成全国可移动文物普查任务</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完成年度省属国有单位普查可移动文物信息采集登录工作任务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二十六、文物保护</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负责全区各级重点文物保护单位申报、制定保护规划、修缮审批、指导和监察工作；</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在不破坏文物的基础上维修，符合有关政策规定，以保护为目的。</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、文物保护</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在不破坏文物的基础上维修，符合有关规定，完善各种审批手续，确保修旧如旧。</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高质量完成文物修缮，修缮前后建筑形制、原貌风格一致。</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协调全市文物管理、保护、抢救、发掘、研究、宣传等业务工作。审核或申报全市文物发掘、保护、维修项目，做好组织实施工作。</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98%</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二十七、全民健身</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24.00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组织各种群众体育活动，宣传体育健身运动，推动十二个体育项目协会的发展，群众体育健身设施的配套维护，培养培训社会体育建设指导员。</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加强社会体育的推广，推动全民健身的发展。</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、全民健身</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24.00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贯彻落实《全民健身条例》，推行全民健身计划，组织开展群众体育活动，加强群众体育设施建设，指导群众科学健身，指导开展群众性体育活动，配合相关部门举办农民、职工综合性运动会，培训社会体育指导员，开展国民体质监测。</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发展全民健身事业，完善全民健身服务体系，满足群众健身需求。</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发展全民健身事业，完善全民健身服务体系，满足群众健身需求。</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二十八、体育竞赛活动</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举办职工运动会、社区运动会等各项竞赛活动，参加国家、省市级比赛及组织区级各种比赛。</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促进各个竞技项目的发展，提高我区竞技水平的提高。</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、体育竞赛</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组队我区群众参加全国省级市级等运动会和体育单项竞技比赛；组织举办全区运动会和区级单项体育比赛。</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提高全区竞技体育水平。</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参加年度体育赛事成绩、举办比赛次数。</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二十九、体育场馆维护</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5.00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维护维修体育场馆的跑道、草坪、篮球馆、看台等各种场地设施，水电费及公益性岗位工资。</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维护维修好体育场馆的设施和环境，保障群众健身场所和竞技场所的使用。</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、体育场馆维护</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5.00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指导加强体育场馆、基地等体育设施建设，开展公共体育设施监督管理</w:t>
            </w:r>
            <w:r>
              <w:rPr>
                <w:rFonts w:ascii="方正书宋_GBK" w:eastAsia="方正书宋_GBK"/>
              </w:rPr>
              <w:t>,</w:t>
            </w:r>
            <w:r>
              <w:rPr>
                <w:rFonts w:hint="eastAsia" w:ascii="方正书宋_GBK" w:eastAsia="方正书宋_GBK"/>
              </w:rPr>
              <w:t>以场地完善、实用、方便群众率为标准。</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加强体育健身设施建设，不断满足社会对体育健身设施的需求。</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完成年度基本建设和维修改造计划。</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98%</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三十、体育训练</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参加各种竞赛的训练，开展青少年体育技能和体能的训练，选拔好的体育苗子向上级输送。</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加强青少年儿童体育的培养和体育人才的挖掘工作，多向上级输送体育人才。</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、体育训练</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指导监督青少年体育锻炼标准的实施，指导青少年业余训练及体育运动学校、体育传统项目学校、青少年体育俱乐部的建设工作，配合有关部分举办全区中小学生综合性运动会；组织开展全区高水平体育后备人才培养。</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提高青少年身体素质和竞技水平，培养和选拔高水平体育后备人才。</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创办国家级青少年俱乐部个数。</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三十一、老年体协</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3.00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推进老年人体育活动的开展，组织老年各项活动的开展，参加各级老年体协的活动。</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加强老年人的健身意识，引导和培养老年人健身方法、方式，提高我区老年人身体素质。</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、老年体协</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3.00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举办和参加各种健身项目的培训和比赛，推广适合老年人活动的项目。</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举办和参加各项比赛，推广适合老年人活动的项目。</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组织开展比赛，推动老年人健身，培训</w:t>
            </w:r>
            <w:r>
              <w:rPr>
                <w:rFonts w:ascii="方正书宋_GBK" w:eastAsia="方正书宋_GBK"/>
              </w:rPr>
              <w:t>1-2</w:t>
            </w:r>
            <w:r>
              <w:rPr>
                <w:rFonts w:hint="eastAsia" w:ascii="方正书宋_GBK" w:eastAsia="方正书宋_GBK"/>
              </w:rPr>
              <w:t>次，组织比赛</w:t>
            </w:r>
            <w:r>
              <w:rPr>
                <w:rFonts w:ascii="方正书宋_GBK" w:eastAsia="方正书宋_GBK"/>
              </w:rPr>
              <w:t>3-5</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三十二、体育非物质挖掘整理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挖掘和整理武术等传统体育项目。</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通过比赛、培训、活动的挖掘整理，提高我区传统体育项目的水平。</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、体育非物质挖掘整理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挖掘和整理武术等传统体育项目，通过比赛、培训、活动的挖掘整理，提高我区传统体育项目的水平</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挖掘和整理武术等传统体育项目。</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通过比赛、培训、活动的挖掘整理。</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w:t>
            </w:r>
          </w:p>
        </w:tc>
      </w:tr>
    </w:tbl>
    <w:p>
      <w:pPr>
        <w:spacing w:line="300" w:lineRule="exact"/>
        <w:jc w:val="left"/>
        <w:outlineLvl w:val="0"/>
        <w:sectPr>
          <w:pgSz w:w="16839" w:h="11907" w:orient="landscape"/>
          <w:pgMar w:top="1020" w:right="1361" w:bottom="1020" w:left="1361" w:header="851" w:footer="992" w:gutter="0"/>
          <w:cols w:space="425" w:num="1"/>
          <w:docGrid w:type="lines" w:linePitch="312" w:charSpace="0"/>
        </w:sectPr>
      </w:pPr>
    </w:p>
    <w:p>
      <w:pPr>
        <w:ind w:firstLine="560"/>
        <w:rPr>
          <w:rFonts w:hint="eastAsia" w:ascii="仿宋_GB2312" w:hAnsi="宋体" w:eastAsia="仿宋_GB2312"/>
          <w:sz w:val="32"/>
          <w:szCs w:val="32"/>
        </w:rPr>
      </w:pPr>
      <w:r>
        <w:rPr>
          <w:rFonts w:hint="eastAsia" w:ascii="仿宋_GB2312" w:hAnsi="宋体" w:eastAsia="仿宋_GB2312"/>
          <w:sz w:val="32"/>
          <w:szCs w:val="32"/>
        </w:rPr>
        <w:t>六、政府采购支出情况说明</w:t>
      </w:r>
    </w:p>
    <w:p>
      <w:pPr>
        <w:ind w:firstLine="560"/>
        <w:rPr>
          <w:rFonts w:hint="eastAsia" w:ascii="仿宋_GB2312" w:hAnsi="宋体" w:eastAsia="仿宋_GB2312"/>
          <w:sz w:val="32"/>
          <w:szCs w:val="32"/>
        </w:rPr>
      </w:pPr>
      <w:r>
        <w:rPr>
          <w:rFonts w:hint="eastAsia" w:ascii="仿宋_GB2312" w:hAnsi="宋体" w:eastAsia="仿宋_GB2312"/>
          <w:sz w:val="32"/>
          <w:szCs w:val="32"/>
        </w:rPr>
        <w:t>201</w:t>
      </w:r>
      <w:r>
        <w:rPr>
          <w:rFonts w:hint="eastAsia" w:ascii="仿宋_GB2312" w:hAnsi="宋体" w:eastAsia="仿宋_GB2312"/>
          <w:sz w:val="32"/>
          <w:szCs w:val="32"/>
          <w:lang w:val="en-US" w:eastAsia="zh-CN"/>
        </w:rPr>
        <w:t>9</w:t>
      </w:r>
      <w:r>
        <w:rPr>
          <w:rFonts w:hint="eastAsia" w:ascii="仿宋_GB2312" w:hAnsi="宋体" w:eastAsia="仿宋_GB2312"/>
          <w:sz w:val="32"/>
          <w:szCs w:val="32"/>
        </w:rPr>
        <w:t>年度政府采购金额约为</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万元，具体见下表。</w:t>
      </w:r>
    </w:p>
    <w:tbl>
      <w:tblPr>
        <w:tblStyle w:val="13"/>
        <w:tblW w:w="13752"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271"/>
        <w:gridCol w:w="998"/>
        <w:gridCol w:w="880"/>
        <w:gridCol w:w="891"/>
        <w:gridCol w:w="679"/>
        <w:gridCol w:w="957"/>
        <w:gridCol w:w="761"/>
        <w:gridCol w:w="957"/>
        <w:gridCol w:w="957"/>
        <w:gridCol w:w="957"/>
        <w:gridCol w:w="869"/>
        <w:gridCol w:w="872"/>
        <w:gridCol w:w="872"/>
        <w:gridCol w:w="83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7437" w:type="dxa"/>
            <w:gridSpan w:val="7"/>
            <w:tcBorders>
              <w:top w:val="single" w:color="FFFFFF" w:sz="6" w:space="0"/>
              <w:left w:val="single" w:color="FFFFFF" w:sz="6" w:space="0"/>
              <w:right w:val="single" w:color="FFFFFF" w:sz="6" w:space="0"/>
            </w:tcBorders>
            <w:vAlign w:val="center"/>
          </w:tcPr>
          <w:p>
            <w:pPr>
              <w:spacing w:line="300" w:lineRule="exact"/>
              <w:jc w:val="left"/>
              <w:rPr>
                <w:rFonts w:ascii="方正小标宋_GBK" w:eastAsia="方正小标宋_GBK"/>
                <w:sz w:val="24"/>
              </w:rPr>
            </w:pPr>
            <w:r>
              <w:rPr>
                <w:rFonts w:ascii="方正小标宋_GBK" w:eastAsia="方正小标宋_GBK"/>
                <w:sz w:val="24"/>
              </w:rPr>
              <w:t>357</w:t>
            </w:r>
            <w:r>
              <w:rPr>
                <w:rFonts w:hint="eastAsia" w:ascii="方正小标宋_GBK" w:eastAsia="方正小标宋_GBK"/>
                <w:sz w:val="24"/>
              </w:rPr>
              <w:t>石家庄市鹿泉区文体旅游局</w:t>
            </w:r>
          </w:p>
        </w:tc>
        <w:tc>
          <w:tcPr>
            <w:tcW w:w="6315" w:type="dxa"/>
            <w:gridSpan w:val="7"/>
            <w:tcBorders>
              <w:top w:val="single" w:color="FFFFFF" w:sz="6" w:space="0"/>
              <w:left w:val="single" w:color="FFFFFF" w:sz="6" w:space="0"/>
              <w:right w:val="single" w:color="FFFFFF" w:sz="6" w:space="0"/>
            </w:tcBorders>
            <w:vAlign w:val="center"/>
          </w:tcPr>
          <w:p>
            <w:pPr>
              <w:spacing w:line="300" w:lineRule="exact"/>
              <w:jc w:val="right"/>
              <w:rPr>
                <w:rFonts w:ascii="方正书宋_GBK" w:eastAsia="方正书宋_GBK"/>
                <w:sz w:val="24"/>
              </w:rPr>
            </w:pPr>
            <w:r>
              <w:rPr>
                <w:rFonts w:hint="eastAsia" w:ascii="方正书宋_GBK" w:eastAsia="方正书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3269" w:type="dxa"/>
            <w:gridSpan w:val="2"/>
            <w:vAlign w:val="center"/>
          </w:tcPr>
          <w:p>
            <w:pPr>
              <w:spacing w:line="300" w:lineRule="exact"/>
              <w:jc w:val="center"/>
              <w:rPr>
                <w:rFonts w:ascii="方正书宋_GBK" w:eastAsia="方正书宋_GBK"/>
                <w:b/>
              </w:rPr>
            </w:pPr>
            <w:r>
              <w:rPr>
                <w:rFonts w:hint="eastAsia" w:ascii="方正书宋_GBK" w:eastAsia="方正书宋_GBK"/>
                <w:b/>
              </w:rPr>
              <w:t>政府采购项目来源</w:t>
            </w:r>
          </w:p>
        </w:tc>
        <w:tc>
          <w:tcPr>
            <w:tcW w:w="880" w:type="dxa"/>
            <w:vMerge w:val="restart"/>
            <w:vAlign w:val="center"/>
          </w:tcPr>
          <w:p>
            <w:pPr>
              <w:spacing w:line="300" w:lineRule="exact"/>
              <w:jc w:val="center"/>
              <w:rPr>
                <w:rFonts w:ascii="方正书宋_GBK" w:eastAsia="方正书宋_GBK"/>
                <w:b/>
              </w:rPr>
            </w:pPr>
            <w:r>
              <w:rPr>
                <w:rFonts w:hint="eastAsia" w:ascii="方正书宋_GBK" w:eastAsia="方正书宋_GBK"/>
                <w:b/>
              </w:rPr>
              <w:t>采购物品名称</w:t>
            </w:r>
          </w:p>
        </w:tc>
        <w:tc>
          <w:tcPr>
            <w:tcW w:w="891" w:type="dxa"/>
            <w:vMerge w:val="restart"/>
            <w:vAlign w:val="center"/>
          </w:tcPr>
          <w:p>
            <w:pPr>
              <w:spacing w:line="300" w:lineRule="exact"/>
              <w:jc w:val="center"/>
              <w:rPr>
                <w:rFonts w:ascii="方正书宋_GBK" w:eastAsia="方正书宋_GBK"/>
                <w:b/>
              </w:rPr>
            </w:pPr>
            <w:r>
              <w:rPr>
                <w:rFonts w:hint="eastAsia" w:ascii="方正书宋_GBK" w:eastAsia="方正书宋_GBK"/>
                <w:b/>
              </w:rPr>
              <w:t>政府采购目录序号</w:t>
            </w:r>
          </w:p>
        </w:tc>
        <w:tc>
          <w:tcPr>
            <w:tcW w:w="679" w:type="dxa"/>
            <w:vMerge w:val="restart"/>
            <w:vAlign w:val="center"/>
          </w:tcPr>
          <w:p>
            <w:pPr>
              <w:spacing w:line="300" w:lineRule="exact"/>
              <w:jc w:val="center"/>
              <w:rPr>
                <w:rFonts w:ascii="方正书宋_GBK" w:eastAsia="方正书宋_GBK"/>
                <w:b/>
              </w:rPr>
            </w:pPr>
            <w:r>
              <w:rPr>
                <w:rFonts w:hint="eastAsia" w:ascii="方正书宋_GBK" w:eastAsia="方正书宋_GBK"/>
                <w:b/>
              </w:rPr>
              <w:t>数量</w:t>
            </w:r>
            <w:r>
              <w:rPr>
                <w:rFonts w:ascii="方正书宋_GBK" w:eastAsia="方正书宋_GBK"/>
                <w:b/>
              </w:rPr>
              <w:t xml:space="preserve">  </w:t>
            </w:r>
            <w:r>
              <w:rPr>
                <w:rFonts w:hint="eastAsia" w:ascii="方正书宋_GBK" w:eastAsia="方正书宋_GBK"/>
                <w:b/>
              </w:rPr>
              <w:t>单位</w:t>
            </w:r>
          </w:p>
        </w:tc>
        <w:tc>
          <w:tcPr>
            <w:tcW w:w="957" w:type="dxa"/>
            <w:vMerge w:val="restart"/>
            <w:vAlign w:val="center"/>
          </w:tcPr>
          <w:p>
            <w:pPr>
              <w:spacing w:line="300" w:lineRule="exact"/>
              <w:jc w:val="center"/>
              <w:rPr>
                <w:rFonts w:ascii="方正书宋_GBK" w:eastAsia="方正书宋_GBK"/>
                <w:b/>
              </w:rPr>
            </w:pPr>
            <w:r>
              <w:rPr>
                <w:rFonts w:hint="eastAsia" w:ascii="方正书宋_GBK" w:eastAsia="方正书宋_GBK"/>
                <w:b/>
              </w:rPr>
              <w:t>数量</w:t>
            </w:r>
          </w:p>
        </w:tc>
        <w:tc>
          <w:tcPr>
            <w:tcW w:w="761" w:type="dxa"/>
            <w:vMerge w:val="restart"/>
            <w:vAlign w:val="center"/>
          </w:tcPr>
          <w:p>
            <w:pPr>
              <w:spacing w:line="300" w:lineRule="exact"/>
              <w:jc w:val="center"/>
              <w:rPr>
                <w:rFonts w:ascii="方正书宋_GBK" w:eastAsia="方正书宋_GBK"/>
                <w:b/>
              </w:rPr>
            </w:pPr>
            <w:r>
              <w:rPr>
                <w:rFonts w:hint="eastAsia" w:ascii="方正书宋_GBK" w:eastAsia="方正书宋_GBK"/>
                <w:b/>
              </w:rPr>
              <w:t>单价</w:t>
            </w:r>
          </w:p>
        </w:tc>
        <w:tc>
          <w:tcPr>
            <w:tcW w:w="6315" w:type="dxa"/>
            <w:gridSpan w:val="7"/>
            <w:vAlign w:val="center"/>
          </w:tcPr>
          <w:p>
            <w:pPr>
              <w:spacing w:line="300" w:lineRule="exact"/>
              <w:jc w:val="center"/>
              <w:rPr>
                <w:rFonts w:ascii="方正书宋_GBK" w:eastAsia="方正书宋_GBK"/>
                <w:b/>
              </w:rPr>
            </w:pPr>
            <w:r>
              <w:rPr>
                <w:rFonts w:hint="eastAsia" w:ascii="方正书宋_GBK" w:eastAsia="方正书宋_GBK"/>
                <w:b/>
              </w:rPr>
              <w:t>政府采购金额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2271" w:type="dxa"/>
            <w:vMerge w:val="restart"/>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998" w:type="dxa"/>
            <w:vMerge w:val="restart"/>
            <w:vAlign w:val="center"/>
          </w:tcPr>
          <w:p>
            <w:pPr>
              <w:spacing w:line="300" w:lineRule="exact"/>
              <w:jc w:val="center"/>
              <w:rPr>
                <w:rFonts w:ascii="方正书宋_GBK" w:eastAsia="方正书宋_GBK"/>
                <w:b/>
              </w:rPr>
            </w:pPr>
            <w:r>
              <w:rPr>
                <w:rFonts w:hint="eastAsia" w:ascii="方正书宋_GBK" w:eastAsia="方正书宋_GBK"/>
                <w:b/>
              </w:rPr>
              <w:t>预算资金</w:t>
            </w:r>
          </w:p>
        </w:tc>
        <w:tc>
          <w:tcPr>
            <w:tcW w:w="880" w:type="dxa"/>
            <w:vMerge w:val="continue"/>
            <w:vAlign w:val="center"/>
          </w:tcPr>
          <w:p>
            <w:pPr>
              <w:spacing w:line="300" w:lineRule="exact"/>
              <w:jc w:val="left"/>
              <w:outlineLvl w:val="0"/>
            </w:pPr>
          </w:p>
        </w:tc>
        <w:tc>
          <w:tcPr>
            <w:tcW w:w="891" w:type="dxa"/>
            <w:vMerge w:val="continue"/>
            <w:vAlign w:val="center"/>
          </w:tcPr>
          <w:p>
            <w:pPr>
              <w:spacing w:line="300" w:lineRule="exact"/>
              <w:jc w:val="left"/>
              <w:outlineLvl w:val="0"/>
            </w:pPr>
          </w:p>
        </w:tc>
        <w:tc>
          <w:tcPr>
            <w:tcW w:w="679" w:type="dxa"/>
            <w:vMerge w:val="continue"/>
            <w:vAlign w:val="center"/>
          </w:tcPr>
          <w:p>
            <w:pPr>
              <w:spacing w:line="300" w:lineRule="exact"/>
              <w:jc w:val="left"/>
              <w:outlineLvl w:val="0"/>
            </w:pPr>
          </w:p>
        </w:tc>
        <w:tc>
          <w:tcPr>
            <w:tcW w:w="957" w:type="dxa"/>
            <w:vMerge w:val="continue"/>
            <w:vAlign w:val="center"/>
          </w:tcPr>
          <w:p>
            <w:pPr>
              <w:spacing w:line="300" w:lineRule="exact"/>
              <w:jc w:val="left"/>
              <w:outlineLvl w:val="0"/>
            </w:pPr>
          </w:p>
        </w:tc>
        <w:tc>
          <w:tcPr>
            <w:tcW w:w="761" w:type="dxa"/>
            <w:vMerge w:val="continue"/>
            <w:vAlign w:val="center"/>
          </w:tcPr>
          <w:p>
            <w:pPr>
              <w:spacing w:line="300" w:lineRule="exact"/>
              <w:jc w:val="left"/>
              <w:outlineLvl w:val="0"/>
            </w:pPr>
          </w:p>
        </w:tc>
        <w:tc>
          <w:tcPr>
            <w:tcW w:w="957" w:type="dxa"/>
            <w:vMerge w:val="restart"/>
            <w:vAlign w:val="center"/>
          </w:tcPr>
          <w:p>
            <w:pPr>
              <w:spacing w:line="300" w:lineRule="exact"/>
              <w:jc w:val="center"/>
              <w:rPr>
                <w:rFonts w:ascii="方正书宋_GBK" w:eastAsia="方正书宋_GBK"/>
                <w:b/>
              </w:rPr>
            </w:pPr>
            <w:r>
              <w:rPr>
                <w:rFonts w:hint="eastAsia" w:ascii="方正书宋_GBK" w:eastAsia="方正书宋_GBK"/>
                <w:b/>
              </w:rPr>
              <w:t>总计</w:t>
            </w:r>
          </w:p>
        </w:tc>
        <w:tc>
          <w:tcPr>
            <w:tcW w:w="4527" w:type="dxa"/>
            <w:gridSpan w:val="5"/>
            <w:vAlign w:val="center"/>
          </w:tcPr>
          <w:p>
            <w:pPr>
              <w:spacing w:line="300" w:lineRule="exact"/>
              <w:jc w:val="center"/>
              <w:rPr>
                <w:rFonts w:ascii="方正书宋_GBK" w:eastAsia="方正书宋_GBK"/>
                <w:b/>
              </w:rPr>
            </w:pPr>
            <w:r>
              <w:rPr>
                <w:rFonts w:hint="eastAsia" w:ascii="方正书宋_GBK" w:eastAsia="方正书宋_GBK"/>
                <w:b/>
              </w:rPr>
              <w:t>当年部门预算安排资金</w:t>
            </w:r>
          </w:p>
        </w:tc>
        <w:tc>
          <w:tcPr>
            <w:tcW w:w="831" w:type="dxa"/>
            <w:vMerge w:val="restart"/>
            <w:vAlign w:val="center"/>
          </w:tcPr>
          <w:p>
            <w:pPr>
              <w:spacing w:line="300" w:lineRule="exact"/>
              <w:jc w:val="center"/>
              <w:rPr>
                <w:rFonts w:ascii="方正书宋_GBK" w:eastAsia="方正书宋_GBK"/>
                <w:b/>
              </w:rPr>
            </w:pPr>
            <w:r>
              <w:rPr>
                <w:rFonts w:hint="eastAsia" w:ascii="方正书宋_GBK" w:eastAsia="方正书宋_GBK"/>
                <w:b/>
              </w:rPr>
              <w:t>其他渠道资金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blHeader/>
          <w:jc w:val="center"/>
        </w:trPr>
        <w:tc>
          <w:tcPr>
            <w:tcW w:w="2271" w:type="dxa"/>
            <w:vMerge w:val="continue"/>
            <w:vAlign w:val="center"/>
          </w:tcPr>
          <w:p>
            <w:pPr>
              <w:spacing w:line="300" w:lineRule="exact"/>
              <w:jc w:val="left"/>
              <w:outlineLvl w:val="0"/>
            </w:pPr>
          </w:p>
        </w:tc>
        <w:tc>
          <w:tcPr>
            <w:tcW w:w="998" w:type="dxa"/>
            <w:vMerge w:val="continue"/>
            <w:vAlign w:val="center"/>
          </w:tcPr>
          <w:p>
            <w:pPr>
              <w:spacing w:line="300" w:lineRule="exact"/>
              <w:jc w:val="left"/>
              <w:outlineLvl w:val="0"/>
            </w:pPr>
          </w:p>
        </w:tc>
        <w:tc>
          <w:tcPr>
            <w:tcW w:w="880" w:type="dxa"/>
            <w:vMerge w:val="continue"/>
            <w:vAlign w:val="center"/>
          </w:tcPr>
          <w:p>
            <w:pPr>
              <w:spacing w:line="300" w:lineRule="exact"/>
              <w:jc w:val="left"/>
              <w:outlineLvl w:val="0"/>
            </w:pPr>
          </w:p>
        </w:tc>
        <w:tc>
          <w:tcPr>
            <w:tcW w:w="891" w:type="dxa"/>
            <w:vMerge w:val="continue"/>
            <w:vAlign w:val="center"/>
          </w:tcPr>
          <w:p>
            <w:pPr>
              <w:spacing w:line="300" w:lineRule="exact"/>
              <w:jc w:val="left"/>
              <w:outlineLvl w:val="0"/>
            </w:pPr>
          </w:p>
        </w:tc>
        <w:tc>
          <w:tcPr>
            <w:tcW w:w="679" w:type="dxa"/>
            <w:vMerge w:val="continue"/>
            <w:vAlign w:val="center"/>
          </w:tcPr>
          <w:p>
            <w:pPr>
              <w:spacing w:line="300" w:lineRule="exact"/>
              <w:jc w:val="left"/>
              <w:outlineLvl w:val="0"/>
            </w:pPr>
          </w:p>
        </w:tc>
        <w:tc>
          <w:tcPr>
            <w:tcW w:w="957" w:type="dxa"/>
            <w:vMerge w:val="continue"/>
            <w:vAlign w:val="center"/>
          </w:tcPr>
          <w:p>
            <w:pPr>
              <w:spacing w:line="300" w:lineRule="exact"/>
              <w:jc w:val="left"/>
              <w:outlineLvl w:val="0"/>
            </w:pPr>
          </w:p>
        </w:tc>
        <w:tc>
          <w:tcPr>
            <w:tcW w:w="761" w:type="dxa"/>
            <w:vMerge w:val="continue"/>
            <w:vAlign w:val="center"/>
          </w:tcPr>
          <w:p>
            <w:pPr>
              <w:spacing w:line="300" w:lineRule="exact"/>
              <w:jc w:val="left"/>
              <w:outlineLvl w:val="0"/>
            </w:pPr>
          </w:p>
        </w:tc>
        <w:tc>
          <w:tcPr>
            <w:tcW w:w="957" w:type="dxa"/>
            <w:vMerge w:val="continue"/>
            <w:vAlign w:val="center"/>
          </w:tcPr>
          <w:p>
            <w:pPr>
              <w:spacing w:line="300" w:lineRule="exact"/>
              <w:jc w:val="left"/>
              <w:outlineLvl w:val="0"/>
            </w:pPr>
          </w:p>
        </w:tc>
        <w:tc>
          <w:tcPr>
            <w:tcW w:w="957" w:type="dxa"/>
            <w:vAlign w:val="center"/>
          </w:tcPr>
          <w:p>
            <w:pPr>
              <w:spacing w:line="300" w:lineRule="exact"/>
              <w:jc w:val="center"/>
              <w:rPr>
                <w:rFonts w:ascii="方正书宋_GBK" w:eastAsia="方正书宋_GBK"/>
                <w:b/>
              </w:rPr>
            </w:pPr>
            <w:r>
              <w:rPr>
                <w:rFonts w:hint="eastAsia" w:ascii="方正书宋_GBK" w:eastAsia="方正书宋_GBK"/>
                <w:b/>
              </w:rPr>
              <w:t>合计</w:t>
            </w:r>
          </w:p>
        </w:tc>
        <w:tc>
          <w:tcPr>
            <w:tcW w:w="957" w:type="dxa"/>
            <w:vAlign w:val="center"/>
          </w:tcPr>
          <w:p>
            <w:pPr>
              <w:spacing w:line="300" w:lineRule="exact"/>
              <w:jc w:val="center"/>
              <w:rPr>
                <w:rFonts w:ascii="方正书宋_GBK" w:eastAsia="方正书宋_GBK"/>
                <w:b/>
              </w:rPr>
            </w:pPr>
            <w:r>
              <w:rPr>
                <w:rFonts w:hint="eastAsia" w:ascii="方正书宋_GBK" w:eastAsia="方正书宋_GBK"/>
                <w:b/>
              </w:rPr>
              <w:t>一般公共预算拨款</w:t>
            </w:r>
          </w:p>
        </w:tc>
        <w:tc>
          <w:tcPr>
            <w:tcW w:w="869" w:type="dxa"/>
            <w:vAlign w:val="center"/>
          </w:tcPr>
          <w:p>
            <w:pPr>
              <w:spacing w:line="300" w:lineRule="exact"/>
              <w:jc w:val="center"/>
              <w:rPr>
                <w:rFonts w:ascii="方正书宋_GBK" w:eastAsia="方正书宋_GBK"/>
                <w:b/>
              </w:rPr>
            </w:pPr>
            <w:r>
              <w:rPr>
                <w:rFonts w:hint="eastAsia" w:ascii="方正书宋_GBK" w:eastAsia="方正书宋_GBK"/>
                <w:b/>
              </w:rPr>
              <w:t>基金预算拨款</w:t>
            </w:r>
          </w:p>
        </w:tc>
        <w:tc>
          <w:tcPr>
            <w:tcW w:w="872" w:type="dxa"/>
            <w:vAlign w:val="center"/>
          </w:tcPr>
          <w:p>
            <w:pPr>
              <w:spacing w:line="300" w:lineRule="exact"/>
              <w:jc w:val="center"/>
              <w:rPr>
                <w:rFonts w:ascii="方正书宋_GBK" w:eastAsia="方正书宋_GBK"/>
                <w:b/>
              </w:rPr>
            </w:pPr>
            <w:r>
              <w:rPr>
                <w:rFonts w:hint="eastAsia" w:ascii="方正书宋_GBK" w:eastAsia="方正书宋_GBK"/>
                <w:b/>
              </w:rPr>
              <w:t>财政专户核拨</w:t>
            </w:r>
          </w:p>
        </w:tc>
        <w:tc>
          <w:tcPr>
            <w:tcW w:w="872" w:type="dxa"/>
            <w:vAlign w:val="center"/>
          </w:tcPr>
          <w:p>
            <w:pPr>
              <w:spacing w:line="300" w:lineRule="exact"/>
              <w:jc w:val="center"/>
              <w:rPr>
                <w:rFonts w:ascii="方正书宋_GBK" w:eastAsia="方正书宋_GBK"/>
                <w:b/>
              </w:rPr>
            </w:pPr>
            <w:r>
              <w:rPr>
                <w:rFonts w:hint="eastAsia" w:ascii="方正书宋_GBK" w:eastAsia="方正书宋_GBK"/>
                <w:b/>
              </w:rPr>
              <w:t>其他来源收入</w:t>
            </w:r>
          </w:p>
        </w:tc>
        <w:tc>
          <w:tcPr>
            <w:tcW w:w="831" w:type="dxa"/>
            <w:vMerge w:val="continue"/>
            <w:vAlign w:val="center"/>
          </w:tcPr>
          <w:p>
            <w:pPr>
              <w:spacing w:line="300" w:lineRule="exact"/>
              <w:jc w:val="left"/>
              <w:outlineLvl w:val="0"/>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271" w:type="dxa"/>
            <w:vAlign w:val="center"/>
          </w:tcPr>
          <w:p>
            <w:pPr>
              <w:spacing w:line="300" w:lineRule="exact"/>
              <w:jc w:val="center"/>
              <w:rPr>
                <w:rFonts w:ascii="方正书宋_GBK" w:eastAsia="方正书宋_GBK"/>
                <w:b/>
              </w:rPr>
            </w:pPr>
            <w:r>
              <w:rPr>
                <w:rFonts w:hint="eastAsia" w:ascii="方正书宋_GBK" w:eastAsia="方正书宋_GBK"/>
                <w:b/>
              </w:rPr>
              <w:t>合　计</w:t>
            </w:r>
          </w:p>
        </w:tc>
        <w:tc>
          <w:tcPr>
            <w:tcW w:w="998" w:type="dxa"/>
            <w:vAlign w:val="center"/>
          </w:tcPr>
          <w:p>
            <w:pPr>
              <w:spacing w:line="300" w:lineRule="exact"/>
              <w:jc w:val="right"/>
              <w:rPr>
                <w:rFonts w:hint="eastAsia" w:ascii="方正书宋_GBK" w:eastAsiaTheme="minorEastAsia"/>
                <w:b/>
                <w:lang w:val="en-US" w:eastAsia="zh-CN"/>
              </w:rPr>
            </w:pPr>
            <w:r>
              <w:rPr>
                <w:rFonts w:hint="eastAsia" w:ascii="方正书宋_GBK"/>
                <w:b/>
                <w:lang w:val="en-US" w:eastAsia="zh-CN"/>
              </w:rPr>
              <w:t>368.3</w:t>
            </w:r>
          </w:p>
        </w:tc>
        <w:tc>
          <w:tcPr>
            <w:tcW w:w="880" w:type="dxa"/>
            <w:vAlign w:val="center"/>
          </w:tcPr>
          <w:p>
            <w:pPr>
              <w:spacing w:line="300" w:lineRule="exact"/>
              <w:jc w:val="left"/>
              <w:rPr>
                <w:rFonts w:ascii="方正书宋_GBK" w:eastAsia="方正书宋_GBK"/>
                <w:b/>
              </w:rPr>
            </w:pPr>
          </w:p>
        </w:tc>
        <w:tc>
          <w:tcPr>
            <w:tcW w:w="891" w:type="dxa"/>
            <w:vAlign w:val="center"/>
          </w:tcPr>
          <w:p>
            <w:pPr>
              <w:spacing w:line="300" w:lineRule="exact"/>
              <w:jc w:val="left"/>
              <w:rPr>
                <w:rFonts w:ascii="方正书宋_GBK" w:eastAsia="方正书宋_GBK"/>
                <w:b/>
              </w:rPr>
            </w:pPr>
          </w:p>
        </w:tc>
        <w:tc>
          <w:tcPr>
            <w:tcW w:w="679" w:type="dxa"/>
            <w:vAlign w:val="center"/>
          </w:tcPr>
          <w:p>
            <w:pPr>
              <w:spacing w:line="300" w:lineRule="exact"/>
              <w:jc w:val="left"/>
              <w:rPr>
                <w:rFonts w:ascii="方正书宋_GBK" w:eastAsia="方正书宋_GBK"/>
                <w:b/>
              </w:rPr>
            </w:pPr>
          </w:p>
        </w:tc>
        <w:tc>
          <w:tcPr>
            <w:tcW w:w="957" w:type="dxa"/>
            <w:vAlign w:val="center"/>
          </w:tcPr>
          <w:p>
            <w:pPr>
              <w:spacing w:line="300" w:lineRule="exact"/>
              <w:jc w:val="right"/>
              <w:rPr>
                <w:rFonts w:hint="eastAsia" w:ascii="方正书宋_GBK"/>
                <w:b/>
              </w:rPr>
            </w:pPr>
          </w:p>
        </w:tc>
        <w:tc>
          <w:tcPr>
            <w:tcW w:w="761" w:type="dxa"/>
            <w:vAlign w:val="center"/>
          </w:tcPr>
          <w:p>
            <w:pPr>
              <w:spacing w:line="300" w:lineRule="exact"/>
              <w:jc w:val="right"/>
              <w:rPr>
                <w:rFonts w:ascii="方正书宋_GBK" w:eastAsia="方正书宋_GBK"/>
                <w:b/>
              </w:rPr>
            </w:pPr>
          </w:p>
        </w:tc>
        <w:tc>
          <w:tcPr>
            <w:tcW w:w="957" w:type="dxa"/>
            <w:vAlign w:val="center"/>
          </w:tcPr>
          <w:p>
            <w:pPr>
              <w:spacing w:line="300" w:lineRule="exact"/>
              <w:jc w:val="right"/>
              <w:rPr>
                <w:rFonts w:hint="eastAsia" w:ascii="方正书宋_GBK" w:eastAsia="方正书宋_GBK"/>
                <w:b/>
                <w:lang w:val="en-US" w:eastAsia="zh-CN"/>
              </w:rPr>
            </w:pPr>
            <w:r>
              <w:rPr>
                <w:rFonts w:hint="eastAsia" w:ascii="方正书宋_GBK" w:eastAsia="方正书宋_GBK"/>
                <w:b/>
                <w:lang w:val="en-US" w:eastAsia="zh-CN"/>
              </w:rPr>
              <w:t>368.3</w:t>
            </w:r>
          </w:p>
        </w:tc>
        <w:tc>
          <w:tcPr>
            <w:tcW w:w="957" w:type="dxa"/>
            <w:vAlign w:val="center"/>
          </w:tcPr>
          <w:p>
            <w:pPr>
              <w:spacing w:line="300" w:lineRule="exact"/>
              <w:jc w:val="right"/>
              <w:rPr>
                <w:rFonts w:hint="eastAsia" w:ascii="方正书宋_GBK" w:eastAsia="方正书宋_GBK"/>
                <w:b/>
                <w:lang w:val="en-US" w:eastAsia="zh-CN"/>
              </w:rPr>
            </w:pPr>
            <w:r>
              <w:rPr>
                <w:rFonts w:hint="eastAsia" w:ascii="方正书宋_GBK" w:eastAsia="方正书宋_GBK"/>
                <w:b/>
                <w:lang w:val="en-US" w:eastAsia="zh-CN"/>
              </w:rPr>
              <w:t>368.3</w:t>
            </w:r>
          </w:p>
        </w:tc>
        <w:tc>
          <w:tcPr>
            <w:tcW w:w="957" w:type="dxa"/>
            <w:vAlign w:val="center"/>
          </w:tcPr>
          <w:p>
            <w:pPr>
              <w:spacing w:line="300" w:lineRule="exact"/>
              <w:jc w:val="right"/>
              <w:rPr>
                <w:rFonts w:ascii="方正书宋_GBK" w:eastAsia="方正书宋_GBK"/>
                <w:b/>
              </w:rPr>
            </w:pPr>
            <w:r>
              <w:rPr>
                <w:rFonts w:hint="eastAsia" w:ascii="方正书宋_GBK" w:eastAsia="方正书宋_GBK"/>
                <w:b/>
                <w:lang w:val="en-US" w:eastAsia="zh-CN"/>
              </w:rPr>
              <w:t>368.3</w:t>
            </w:r>
          </w:p>
        </w:tc>
        <w:tc>
          <w:tcPr>
            <w:tcW w:w="869" w:type="dxa"/>
            <w:vAlign w:val="center"/>
          </w:tcPr>
          <w:p>
            <w:pPr>
              <w:spacing w:line="300" w:lineRule="exact"/>
              <w:jc w:val="right"/>
              <w:rPr>
                <w:rFonts w:ascii="方正书宋_GBK" w:eastAsia="方正书宋_GBK"/>
                <w:b/>
              </w:rPr>
            </w:pPr>
          </w:p>
        </w:tc>
        <w:tc>
          <w:tcPr>
            <w:tcW w:w="872" w:type="dxa"/>
            <w:vAlign w:val="center"/>
          </w:tcPr>
          <w:p>
            <w:pPr>
              <w:spacing w:line="300" w:lineRule="exact"/>
              <w:jc w:val="right"/>
              <w:rPr>
                <w:rFonts w:ascii="方正书宋_GBK" w:eastAsia="方正书宋_GBK"/>
                <w:b/>
              </w:rPr>
            </w:pPr>
          </w:p>
        </w:tc>
        <w:tc>
          <w:tcPr>
            <w:tcW w:w="872" w:type="dxa"/>
            <w:vAlign w:val="center"/>
          </w:tcPr>
          <w:p>
            <w:pPr>
              <w:spacing w:line="300" w:lineRule="exact"/>
              <w:jc w:val="right"/>
              <w:rPr>
                <w:rFonts w:ascii="方正书宋_GBK" w:eastAsia="方正书宋_GBK"/>
                <w:b/>
              </w:rPr>
            </w:pPr>
          </w:p>
        </w:tc>
        <w:tc>
          <w:tcPr>
            <w:tcW w:w="831" w:type="dxa"/>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271" w:type="dxa"/>
            <w:vAlign w:val="center"/>
          </w:tcPr>
          <w:p>
            <w:pPr>
              <w:spacing w:line="300" w:lineRule="exact"/>
              <w:jc w:val="center"/>
              <w:rPr>
                <w:rFonts w:hint="eastAsia" w:ascii="方正书宋_GBK" w:eastAsia="方正书宋_GBK"/>
                <w:b/>
              </w:rPr>
            </w:pPr>
            <w:r>
              <w:rPr>
                <w:rFonts w:hint="eastAsia" w:ascii="方正书宋_GBK" w:eastAsia="方正书宋_GBK"/>
                <w:b/>
              </w:rPr>
              <w:t>石家庄市鹿泉区文体旅游局小计</w:t>
            </w:r>
          </w:p>
        </w:tc>
        <w:tc>
          <w:tcPr>
            <w:tcW w:w="998" w:type="dxa"/>
            <w:vAlign w:val="center"/>
          </w:tcPr>
          <w:p>
            <w:pPr>
              <w:spacing w:line="300" w:lineRule="exact"/>
              <w:jc w:val="right"/>
              <w:rPr>
                <w:rFonts w:hint="eastAsia" w:ascii="方正书宋_GBK" w:eastAsiaTheme="minorEastAsia"/>
                <w:b/>
                <w:lang w:eastAsia="zh-CN"/>
              </w:rPr>
            </w:pPr>
            <w:r>
              <w:rPr>
                <w:rFonts w:hint="eastAsia" w:ascii="方正书宋_GBK" w:eastAsiaTheme="minorEastAsia"/>
                <w:b/>
                <w:position w:val="-10"/>
                <w:lang w:eastAsia="zh-CN"/>
              </w:rPr>
              <w:object>
                <v:shape id="_x0000_i1025" o:spt="75" type="#_x0000_t75" style="height:17pt;width:72pt;" o:ole="t" filled="f" o:preferrelative="t" stroked="f" coordsize="21600,21600">
                  <v:fill on="f" focussize="0,0"/>
                  <v:stroke on="f"/>
                  <v:imagedata r:id="rId5" o:title=""/>
                  <o:lock v:ext="edit" aspectratio="t"/>
                  <w10:wrap type="none"/>
                  <w10:anchorlock/>
                </v:shape>
                <o:OLEObject Type="Embed" ProgID="Equation.KSEE3" ShapeID="_x0000_i1025" DrawAspect="Content" ObjectID="_1468075725" r:id="rId4">
                  <o:LockedField>false</o:LockedField>
                </o:OLEObject>
              </w:object>
            </w:r>
            <w:r>
              <w:rPr>
                <w:rFonts w:hint="eastAsia" w:ascii="方正书宋_GBK"/>
                <w:b/>
                <w:lang w:val="en-US" w:eastAsia="zh-CN"/>
              </w:rPr>
              <w:t>368.3</w:t>
            </w:r>
          </w:p>
        </w:tc>
        <w:tc>
          <w:tcPr>
            <w:tcW w:w="880" w:type="dxa"/>
            <w:vAlign w:val="center"/>
          </w:tcPr>
          <w:p>
            <w:pPr>
              <w:spacing w:line="300" w:lineRule="exact"/>
              <w:jc w:val="left"/>
              <w:rPr>
                <w:rFonts w:ascii="方正书宋_GBK" w:eastAsia="方正书宋_GBK"/>
                <w:b/>
              </w:rPr>
            </w:pPr>
          </w:p>
        </w:tc>
        <w:tc>
          <w:tcPr>
            <w:tcW w:w="891" w:type="dxa"/>
            <w:vAlign w:val="center"/>
          </w:tcPr>
          <w:p>
            <w:pPr>
              <w:spacing w:line="300" w:lineRule="exact"/>
              <w:jc w:val="left"/>
              <w:rPr>
                <w:rFonts w:ascii="方正书宋_GBK" w:eastAsia="方正书宋_GBK"/>
                <w:b/>
              </w:rPr>
            </w:pPr>
          </w:p>
        </w:tc>
        <w:tc>
          <w:tcPr>
            <w:tcW w:w="679" w:type="dxa"/>
            <w:vAlign w:val="center"/>
          </w:tcPr>
          <w:p>
            <w:pPr>
              <w:spacing w:line="300" w:lineRule="exact"/>
              <w:jc w:val="left"/>
              <w:rPr>
                <w:rFonts w:ascii="方正书宋_GBK" w:eastAsia="方正书宋_GBK"/>
                <w:b/>
              </w:rPr>
            </w:pPr>
          </w:p>
        </w:tc>
        <w:tc>
          <w:tcPr>
            <w:tcW w:w="957" w:type="dxa"/>
            <w:vAlign w:val="center"/>
          </w:tcPr>
          <w:p>
            <w:pPr>
              <w:spacing w:line="300" w:lineRule="exact"/>
              <w:jc w:val="right"/>
              <w:rPr>
                <w:rFonts w:hint="eastAsia" w:ascii="方正书宋_GBK"/>
                <w:b/>
              </w:rPr>
            </w:pPr>
          </w:p>
        </w:tc>
        <w:tc>
          <w:tcPr>
            <w:tcW w:w="761" w:type="dxa"/>
            <w:vAlign w:val="center"/>
          </w:tcPr>
          <w:p>
            <w:pPr>
              <w:spacing w:line="300" w:lineRule="exact"/>
              <w:jc w:val="right"/>
              <w:rPr>
                <w:rFonts w:ascii="方正书宋_GBK" w:eastAsia="方正书宋_GBK"/>
                <w:b/>
              </w:rPr>
            </w:pPr>
          </w:p>
        </w:tc>
        <w:tc>
          <w:tcPr>
            <w:tcW w:w="957" w:type="dxa"/>
            <w:vAlign w:val="center"/>
          </w:tcPr>
          <w:p>
            <w:pPr>
              <w:spacing w:line="300" w:lineRule="exact"/>
              <w:jc w:val="right"/>
              <w:rPr>
                <w:rFonts w:ascii="方正书宋_GBK" w:eastAsia="方正书宋_GBK"/>
                <w:b/>
              </w:rPr>
            </w:pPr>
            <w:r>
              <w:rPr>
                <w:rFonts w:hint="eastAsia" w:ascii="方正书宋_GBK" w:eastAsia="方正书宋_GBK"/>
                <w:b/>
                <w:lang w:val="en-US" w:eastAsia="zh-CN"/>
              </w:rPr>
              <w:t>368.3</w:t>
            </w:r>
          </w:p>
        </w:tc>
        <w:tc>
          <w:tcPr>
            <w:tcW w:w="957" w:type="dxa"/>
            <w:vAlign w:val="center"/>
          </w:tcPr>
          <w:p>
            <w:pPr>
              <w:spacing w:line="300" w:lineRule="exact"/>
              <w:jc w:val="right"/>
              <w:rPr>
                <w:rFonts w:ascii="方正书宋_GBK" w:eastAsia="方正书宋_GBK"/>
                <w:b/>
              </w:rPr>
            </w:pPr>
            <w:r>
              <w:rPr>
                <w:rFonts w:hint="eastAsia" w:ascii="方正书宋_GBK" w:eastAsia="方正书宋_GBK"/>
                <w:b/>
                <w:lang w:val="en-US" w:eastAsia="zh-CN"/>
              </w:rPr>
              <w:t>368.3</w:t>
            </w:r>
          </w:p>
        </w:tc>
        <w:tc>
          <w:tcPr>
            <w:tcW w:w="957" w:type="dxa"/>
            <w:vAlign w:val="center"/>
          </w:tcPr>
          <w:p>
            <w:pPr>
              <w:spacing w:line="300" w:lineRule="exact"/>
              <w:jc w:val="right"/>
              <w:rPr>
                <w:rFonts w:ascii="方正书宋_GBK" w:eastAsia="方正书宋_GBK"/>
                <w:b/>
              </w:rPr>
            </w:pPr>
            <w:r>
              <w:rPr>
                <w:rFonts w:hint="eastAsia" w:ascii="方正书宋_GBK" w:eastAsia="方正书宋_GBK"/>
                <w:b/>
                <w:lang w:val="en-US" w:eastAsia="zh-CN"/>
              </w:rPr>
              <w:t>368.3</w:t>
            </w:r>
          </w:p>
        </w:tc>
        <w:tc>
          <w:tcPr>
            <w:tcW w:w="869" w:type="dxa"/>
            <w:vAlign w:val="center"/>
          </w:tcPr>
          <w:p>
            <w:pPr>
              <w:spacing w:line="300" w:lineRule="exact"/>
              <w:jc w:val="right"/>
              <w:rPr>
                <w:rFonts w:ascii="方正书宋_GBK" w:eastAsia="方正书宋_GBK"/>
                <w:b/>
              </w:rPr>
            </w:pPr>
          </w:p>
        </w:tc>
        <w:tc>
          <w:tcPr>
            <w:tcW w:w="872" w:type="dxa"/>
            <w:vAlign w:val="center"/>
          </w:tcPr>
          <w:p>
            <w:pPr>
              <w:spacing w:line="300" w:lineRule="exact"/>
              <w:jc w:val="right"/>
              <w:rPr>
                <w:rFonts w:ascii="方正书宋_GBK" w:eastAsia="方正书宋_GBK"/>
                <w:b/>
              </w:rPr>
            </w:pPr>
          </w:p>
        </w:tc>
        <w:tc>
          <w:tcPr>
            <w:tcW w:w="872" w:type="dxa"/>
            <w:vAlign w:val="center"/>
          </w:tcPr>
          <w:p>
            <w:pPr>
              <w:spacing w:line="300" w:lineRule="exact"/>
              <w:jc w:val="right"/>
              <w:rPr>
                <w:rFonts w:ascii="方正书宋_GBK" w:eastAsia="方正书宋_GBK"/>
                <w:b/>
              </w:rPr>
            </w:pPr>
          </w:p>
        </w:tc>
        <w:tc>
          <w:tcPr>
            <w:tcW w:w="831" w:type="dxa"/>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271" w:type="dxa"/>
            <w:vAlign w:val="center"/>
          </w:tcPr>
          <w:p>
            <w:pPr>
              <w:spacing w:line="300" w:lineRule="exact"/>
              <w:jc w:val="left"/>
              <w:rPr>
                <w:rFonts w:hint="eastAsia" w:ascii="方正书宋_GBK" w:eastAsia="方正书宋_GBK"/>
              </w:rPr>
            </w:pPr>
            <w:r>
              <w:rPr>
                <w:rFonts w:hint="eastAsia" w:ascii="方正书宋_GBK" w:eastAsia="方正书宋_GBK"/>
              </w:rPr>
              <w:t>西门舞台改造工程</w:t>
            </w:r>
          </w:p>
        </w:tc>
        <w:tc>
          <w:tcPr>
            <w:tcW w:w="998" w:type="dxa"/>
            <w:vAlign w:val="center"/>
          </w:tcPr>
          <w:p>
            <w:pPr>
              <w:spacing w:line="300" w:lineRule="exact"/>
              <w:jc w:val="center"/>
              <w:rPr>
                <w:rFonts w:hint="eastAsia" w:ascii="方正书宋_GBK" w:eastAsia="方正书宋_GBK"/>
                <w:lang w:val="en-US" w:eastAsia="zh-CN"/>
              </w:rPr>
            </w:pPr>
            <w:r>
              <w:rPr>
                <w:rFonts w:hint="eastAsia" w:ascii="方正书宋_GBK" w:eastAsia="方正书宋_GBK"/>
                <w:lang w:val="en-US" w:eastAsia="zh-CN"/>
              </w:rPr>
              <w:t>31.9</w:t>
            </w:r>
          </w:p>
        </w:tc>
        <w:tc>
          <w:tcPr>
            <w:tcW w:w="880" w:type="dxa"/>
            <w:vAlign w:val="center"/>
          </w:tcPr>
          <w:p>
            <w:pPr>
              <w:spacing w:line="300" w:lineRule="exact"/>
              <w:jc w:val="left"/>
              <w:rPr>
                <w:rFonts w:ascii="方正书宋_GBK" w:eastAsia="方正书宋_GBK"/>
              </w:rPr>
            </w:pPr>
            <w:r>
              <w:rPr>
                <w:rFonts w:hint="eastAsia" w:ascii="方正书宋_GBK" w:eastAsia="方正书宋_GBK"/>
              </w:rPr>
              <w:t>其他货物</w:t>
            </w:r>
          </w:p>
        </w:tc>
        <w:tc>
          <w:tcPr>
            <w:tcW w:w="891" w:type="dxa"/>
            <w:vAlign w:val="center"/>
          </w:tcPr>
          <w:p>
            <w:pPr>
              <w:spacing w:line="300" w:lineRule="exact"/>
              <w:jc w:val="left"/>
              <w:rPr>
                <w:rFonts w:hint="eastAsia" w:ascii="方正书宋_GBK" w:eastAsia="方正书宋_GBK"/>
                <w:lang w:eastAsia="zh-CN"/>
              </w:rPr>
            </w:pPr>
            <w:r>
              <w:rPr>
                <w:rFonts w:hint="eastAsia" w:ascii="方正书宋_GBK" w:eastAsia="方正书宋_GBK"/>
                <w:lang w:val="en-US" w:eastAsia="zh-CN"/>
              </w:rPr>
              <w:t>B</w:t>
            </w:r>
          </w:p>
        </w:tc>
        <w:tc>
          <w:tcPr>
            <w:tcW w:w="679" w:type="dxa"/>
            <w:vAlign w:val="center"/>
          </w:tcPr>
          <w:p>
            <w:pPr>
              <w:spacing w:line="300" w:lineRule="exact"/>
              <w:jc w:val="left"/>
              <w:rPr>
                <w:rFonts w:ascii="方正书宋_GBK" w:eastAsia="方正书宋_GBK"/>
              </w:rPr>
            </w:pPr>
          </w:p>
        </w:tc>
        <w:tc>
          <w:tcPr>
            <w:tcW w:w="957" w:type="dxa"/>
            <w:vAlign w:val="center"/>
          </w:tcPr>
          <w:p>
            <w:pPr>
              <w:spacing w:line="300" w:lineRule="exact"/>
              <w:jc w:val="right"/>
              <w:rPr>
                <w:rFonts w:hint="eastAsia" w:ascii="方正书宋_GBK" w:eastAsia="方正书宋_GBK"/>
                <w:lang w:eastAsia="zh-CN"/>
              </w:rPr>
            </w:pPr>
            <w:r>
              <w:rPr>
                <w:rFonts w:hint="eastAsia" w:ascii="方正书宋_GBK" w:eastAsia="方正书宋_GBK"/>
                <w:lang w:val="en-US" w:eastAsia="zh-CN"/>
              </w:rPr>
              <w:t>31.9</w:t>
            </w:r>
          </w:p>
        </w:tc>
        <w:tc>
          <w:tcPr>
            <w:tcW w:w="761" w:type="dxa"/>
            <w:vAlign w:val="center"/>
          </w:tcPr>
          <w:p>
            <w:pPr>
              <w:spacing w:line="300" w:lineRule="exact"/>
              <w:jc w:val="right"/>
              <w:rPr>
                <w:rFonts w:ascii="方正书宋_GBK" w:eastAsia="方正书宋_GBK"/>
              </w:rPr>
            </w:pPr>
            <w:r>
              <w:rPr>
                <w:rFonts w:ascii="方正书宋_GBK" w:eastAsia="方正书宋_GBK"/>
              </w:rPr>
              <w:t>1.00</w:t>
            </w:r>
          </w:p>
        </w:tc>
        <w:tc>
          <w:tcPr>
            <w:tcW w:w="957" w:type="dxa"/>
            <w:vAlign w:val="center"/>
          </w:tcPr>
          <w:p>
            <w:pPr>
              <w:spacing w:line="300" w:lineRule="exact"/>
              <w:jc w:val="right"/>
              <w:rPr>
                <w:rFonts w:ascii="方正书宋_GBK" w:eastAsia="方正书宋_GBK"/>
              </w:rPr>
            </w:pPr>
            <w:r>
              <w:rPr>
                <w:rFonts w:hint="eastAsia" w:ascii="方正书宋_GBK" w:eastAsia="方正书宋_GBK"/>
                <w:lang w:val="en-US" w:eastAsia="zh-CN"/>
              </w:rPr>
              <w:t>31.9</w:t>
            </w:r>
          </w:p>
        </w:tc>
        <w:tc>
          <w:tcPr>
            <w:tcW w:w="957" w:type="dxa"/>
            <w:vAlign w:val="center"/>
          </w:tcPr>
          <w:p>
            <w:pPr>
              <w:spacing w:line="300" w:lineRule="exact"/>
              <w:jc w:val="right"/>
              <w:rPr>
                <w:rFonts w:ascii="方正书宋_GBK" w:eastAsia="方正书宋_GBK"/>
              </w:rPr>
            </w:pPr>
            <w:r>
              <w:rPr>
                <w:rFonts w:hint="eastAsia" w:ascii="方正书宋_GBK" w:eastAsia="方正书宋_GBK"/>
                <w:lang w:val="en-US" w:eastAsia="zh-CN"/>
              </w:rPr>
              <w:t>31.9</w:t>
            </w:r>
          </w:p>
        </w:tc>
        <w:tc>
          <w:tcPr>
            <w:tcW w:w="957" w:type="dxa"/>
            <w:vAlign w:val="center"/>
          </w:tcPr>
          <w:p>
            <w:pPr>
              <w:spacing w:line="300" w:lineRule="exact"/>
              <w:jc w:val="right"/>
              <w:rPr>
                <w:rFonts w:ascii="方正书宋_GBK" w:eastAsia="方正书宋_GBK"/>
              </w:rPr>
            </w:pPr>
            <w:r>
              <w:rPr>
                <w:rFonts w:hint="eastAsia" w:ascii="方正书宋_GBK" w:eastAsia="方正书宋_GBK"/>
                <w:lang w:val="en-US" w:eastAsia="zh-CN"/>
              </w:rPr>
              <w:t>31.9</w:t>
            </w:r>
          </w:p>
        </w:tc>
        <w:tc>
          <w:tcPr>
            <w:tcW w:w="869" w:type="dxa"/>
            <w:vAlign w:val="center"/>
          </w:tcPr>
          <w:p>
            <w:pPr>
              <w:spacing w:line="300" w:lineRule="exact"/>
              <w:jc w:val="right"/>
              <w:rPr>
                <w:rFonts w:ascii="方正书宋_GBK" w:eastAsia="方正书宋_GBK"/>
              </w:rPr>
            </w:pPr>
          </w:p>
        </w:tc>
        <w:tc>
          <w:tcPr>
            <w:tcW w:w="872" w:type="dxa"/>
            <w:vAlign w:val="center"/>
          </w:tcPr>
          <w:p>
            <w:pPr>
              <w:spacing w:line="300" w:lineRule="exact"/>
              <w:jc w:val="right"/>
              <w:rPr>
                <w:rFonts w:ascii="方正书宋_GBK" w:eastAsia="方正书宋_GBK"/>
              </w:rPr>
            </w:pPr>
          </w:p>
        </w:tc>
        <w:tc>
          <w:tcPr>
            <w:tcW w:w="872" w:type="dxa"/>
            <w:vAlign w:val="center"/>
          </w:tcPr>
          <w:p>
            <w:pPr>
              <w:spacing w:line="300" w:lineRule="exact"/>
              <w:jc w:val="right"/>
              <w:rPr>
                <w:rFonts w:ascii="方正书宋_GBK" w:eastAsia="方正书宋_GBK"/>
              </w:rPr>
            </w:pPr>
          </w:p>
        </w:tc>
        <w:tc>
          <w:tcPr>
            <w:tcW w:w="831" w:type="dxa"/>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271" w:type="dxa"/>
            <w:vAlign w:val="center"/>
          </w:tcPr>
          <w:p>
            <w:pPr>
              <w:spacing w:line="300" w:lineRule="exact"/>
              <w:jc w:val="left"/>
              <w:rPr>
                <w:rFonts w:hint="eastAsia" w:ascii="方正书宋_GBK" w:eastAsia="方正书宋_GBK"/>
                <w:lang w:eastAsia="zh-CN"/>
              </w:rPr>
            </w:pPr>
            <w:r>
              <w:rPr>
                <w:rFonts w:hint="eastAsia" w:ascii="方正书宋_GBK" w:eastAsia="方正书宋_GBK"/>
                <w:lang w:eastAsia="zh-CN"/>
              </w:rPr>
              <w:t>广告投放</w:t>
            </w:r>
          </w:p>
        </w:tc>
        <w:tc>
          <w:tcPr>
            <w:tcW w:w="998" w:type="dxa"/>
            <w:vAlign w:val="center"/>
          </w:tcPr>
          <w:p>
            <w:pPr>
              <w:spacing w:line="300" w:lineRule="exact"/>
              <w:jc w:val="right"/>
              <w:rPr>
                <w:rFonts w:ascii="方正书宋_GBK" w:eastAsia="方正书宋_GBK"/>
              </w:rPr>
            </w:pPr>
            <w:r>
              <w:rPr>
                <w:rFonts w:ascii="方正书宋_GBK" w:eastAsia="方正书宋_GBK"/>
              </w:rPr>
              <w:t>176.40</w:t>
            </w:r>
          </w:p>
        </w:tc>
        <w:tc>
          <w:tcPr>
            <w:tcW w:w="880" w:type="dxa"/>
            <w:vAlign w:val="center"/>
          </w:tcPr>
          <w:p>
            <w:pPr>
              <w:spacing w:line="300" w:lineRule="exact"/>
              <w:jc w:val="left"/>
              <w:rPr>
                <w:rFonts w:hint="eastAsia" w:ascii="方正书宋_GBK" w:eastAsia="方正书宋_GBK"/>
              </w:rPr>
            </w:pPr>
            <w:r>
              <w:rPr>
                <w:rFonts w:hint="eastAsia" w:ascii="方正书宋_GBK" w:eastAsia="方正书宋_GBK"/>
              </w:rPr>
              <w:t>城市规划和设计服务</w:t>
            </w:r>
          </w:p>
        </w:tc>
        <w:tc>
          <w:tcPr>
            <w:tcW w:w="891" w:type="dxa"/>
            <w:vAlign w:val="center"/>
          </w:tcPr>
          <w:p>
            <w:pPr>
              <w:spacing w:line="300" w:lineRule="exact"/>
              <w:jc w:val="left"/>
              <w:rPr>
                <w:rFonts w:ascii="方正书宋_GBK" w:eastAsia="方正书宋_GBK"/>
              </w:rPr>
            </w:pPr>
            <w:r>
              <w:rPr>
                <w:rFonts w:ascii="方正书宋_GBK" w:eastAsia="方正书宋_GBK"/>
              </w:rPr>
              <w:t>C1301</w:t>
            </w:r>
          </w:p>
        </w:tc>
        <w:tc>
          <w:tcPr>
            <w:tcW w:w="679" w:type="dxa"/>
            <w:vAlign w:val="center"/>
          </w:tcPr>
          <w:p>
            <w:pPr>
              <w:spacing w:line="300" w:lineRule="exact"/>
              <w:jc w:val="left"/>
              <w:rPr>
                <w:rFonts w:ascii="方正书宋_GBK" w:eastAsia="方正书宋_GBK"/>
              </w:rPr>
            </w:pPr>
          </w:p>
        </w:tc>
        <w:tc>
          <w:tcPr>
            <w:tcW w:w="957" w:type="dxa"/>
            <w:vAlign w:val="center"/>
          </w:tcPr>
          <w:p>
            <w:pPr>
              <w:spacing w:line="300" w:lineRule="exact"/>
              <w:jc w:val="right"/>
              <w:rPr>
                <w:rFonts w:ascii="方正书宋_GBK" w:eastAsia="方正书宋_GBK"/>
              </w:rPr>
            </w:pPr>
            <w:r>
              <w:rPr>
                <w:rFonts w:ascii="方正书宋_GBK" w:eastAsia="方正书宋_GBK"/>
              </w:rPr>
              <w:t>176.40</w:t>
            </w:r>
          </w:p>
        </w:tc>
        <w:tc>
          <w:tcPr>
            <w:tcW w:w="761" w:type="dxa"/>
            <w:vAlign w:val="center"/>
          </w:tcPr>
          <w:p>
            <w:pPr>
              <w:spacing w:line="300" w:lineRule="exact"/>
              <w:jc w:val="right"/>
              <w:rPr>
                <w:rFonts w:ascii="方正书宋_GBK" w:eastAsia="方正书宋_GBK"/>
              </w:rPr>
            </w:pPr>
            <w:r>
              <w:rPr>
                <w:rFonts w:ascii="方正书宋_GBK" w:eastAsia="方正书宋_GBK"/>
              </w:rPr>
              <w:t>1.00</w:t>
            </w:r>
          </w:p>
        </w:tc>
        <w:tc>
          <w:tcPr>
            <w:tcW w:w="957" w:type="dxa"/>
            <w:vAlign w:val="center"/>
          </w:tcPr>
          <w:p>
            <w:pPr>
              <w:spacing w:line="300" w:lineRule="exact"/>
              <w:jc w:val="right"/>
              <w:rPr>
                <w:rFonts w:ascii="方正书宋_GBK" w:eastAsia="方正书宋_GBK"/>
              </w:rPr>
            </w:pPr>
            <w:r>
              <w:rPr>
                <w:rFonts w:ascii="方正书宋_GBK" w:eastAsia="方正书宋_GBK"/>
              </w:rPr>
              <w:t>176.40</w:t>
            </w:r>
          </w:p>
        </w:tc>
        <w:tc>
          <w:tcPr>
            <w:tcW w:w="957" w:type="dxa"/>
            <w:vAlign w:val="center"/>
          </w:tcPr>
          <w:p>
            <w:pPr>
              <w:spacing w:line="300" w:lineRule="exact"/>
              <w:jc w:val="right"/>
              <w:rPr>
                <w:rFonts w:ascii="方正书宋_GBK" w:eastAsia="方正书宋_GBK"/>
              </w:rPr>
            </w:pPr>
            <w:r>
              <w:rPr>
                <w:rFonts w:ascii="方正书宋_GBK" w:eastAsia="方正书宋_GBK"/>
              </w:rPr>
              <w:t>176.40</w:t>
            </w:r>
          </w:p>
        </w:tc>
        <w:tc>
          <w:tcPr>
            <w:tcW w:w="957" w:type="dxa"/>
            <w:vAlign w:val="center"/>
          </w:tcPr>
          <w:p>
            <w:pPr>
              <w:spacing w:line="300" w:lineRule="exact"/>
              <w:jc w:val="right"/>
              <w:rPr>
                <w:rFonts w:ascii="方正书宋_GBK" w:eastAsia="方正书宋_GBK"/>
              </w:rPr>
            </w:pPr>
            <w:r>
              <w:rPr>
                <w:rFonts w:ascii="方正书宋_GBK" w:eastAsia="方正书宋_GBK"/>
              </w:rPr>
              <w:t>176.40</w:t>
            </w:r>
          </w:p>
        </w:tc>
        <w:tc>
          <w:tcPr>
            <w:tcW w:w="869" w:type="dxa"/>
            <w:vAlign w:val="center"/>
          </w:tcPr>
          <w:p>
            <w:pPr>
              <w:spacing w:line="300" w:lineRule="exact"/>
              <w:jc w:val="right"/>
              <w:rPr>
                <w:rFonts w:ascii="方正书宋_GBK" w:eastAsia="方正书宋_GBK"/>
              </w:rPr>
            </w:pPr>
          </w:p>
        </w:tc>
        <w:tc>
          <w:tcPr>
            <w:tcW w:w="872" w:type="dxa"/>
            <w:vAlign w:val="center"/>
          </w:tcPr>
          <w:p>
            <w:pPr>
              <w:spacing w:line="300" w:lineRule="exact"/>
              <w:jc w:val="right"/>
              <w:rPr>
                <w:rFonts w:ascii="方正书宋_GBK" w:eastAsia="方正书宋_GBK"/>
              </w:rPr>
            </w:pPr>
          </w:p>
        </w:tc>
        <w:tc>
          <w:tcPr>
            <w:tcW w:w="872" w:type="dxa"/>
            <w:vAlign w:val="center"/>
          </w:tcPr>
          <w:p>
            <w:pPr>
              <w:spacing w:line="300" w:lineRule="exact"/>
              <w:jc w:val="right"/>
              <w:rPr>
                <w:rFonts w:ascii="方正书宋_GBK" w:eastAsia="方正书宋_GBK"/>
              </w:rPr>
            </w:pPr>
          </w:p>
        </w:tc>
        <w:tc>
          <w:tcPr>
            <w:tcW w:w="831" w:type="dxa"/>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271" w:type="dxa"/>
            <w:vAlign w:val="center"/>
          </w:tcPr>
          <w:p>
            <w:pPr>
              <w:spacing w:line="300" w:lineRule="exact"/>
              <w:jc w:val="left"/>
              <w:rPr>
                <w:rFonts w:hint="eastAsia" w:ascii="方正书宋_GBK" w:eastAsia="方正书宋_GBK"/>
              </w:rPr>
            </w:pPr>
            <w:r>
              <w:rPr>
                <w:rFonts w:hint="eastAsia" w:ascii="方正书宋_GBK" w:eastAsia="方正书宋_GBK"/>
              </w:rPr>
              <w:t>旅游产业发展大会</w:t>
            </w:r>
          </w:p>
        </w:tc>
        <w:tc>
          <w:tcPr>
            <w:tcW w:w="998" w:type="dxa"/>
            <w:vAlign w:val="center"/>
          </w:tcPr>
          <w:p>
            <w:pPr>
              <w:spacing w:line="300" w:lineRule="exact"/>
              <w:jc w:val="right"/>
              <w:rPr>
                <w:rFonts w:hint="eastAsia" w:ascii="方正书宋_GBK" w:eastAsia="方正书宋_GBK"/>
                <w:lang w:eastAsia="zh-CN"/>
              </w:rPr>
            </w:pPr>
            <w:r>
              <w:rPr>
                <w:rFonts w:hint="eastAsia" w:ascii="方正书宋_GBK" w:eastAsia="方正书宋_GBK"/>
                <w:lang w:val="en-US" w:eastAsia="zh-CN"/>
              </w:rPr>
              <w:t>100.00</w:t>
            </w:r>
          </w:p>
        </w:tc>
        <w:tc>
          <w:tcPr>
            <w:tcW w:w="880" w:type="dxa"/>
            <w:vAlign w:val="center"/>
          </w:tcPr>
          <w:p>
            <w:pPr>
              <w:spacing w:line="300" w:lineRule="exact"/>
              <w:jc w:val="left"/>
              <w:rPr>
                <w:rFonts w:hint="eastAsia" w:ascii="方正书宋_GBK" w:eastAsia="方正书宋_GBK"/>
              </w:rPr>
            </w:pPr>
            <w:r>
              <w:rPr>
                <w:rFonts w:hint="eastAsia" w:ascii="方正书宋_GBK" w:eastAsia="方正书宋_GBK"/>
              </w:rPr>
              <w:t>旅游服务</w:t>
            </w:r>
          </w:p>
        </w:tc>
        <w:tc>
          <w:tcPr>
            <w:tcW w:w="891" w:type="dxa"/>
            <w:vAlign w:val="center"/>
          </w:tcPr>
          <w:p>
            <w:pPr>
              <w:spacing w:line="300" w:lineRule="exact"/>
              <w:jc w:val="left"/>
              <w:rPr>
                <w:rFonts w:ascii="方正书宋_GBK" w:eastAsia="方正书宋_GBK"/>
              </w:rPr>
            </w:pPr>
            <w:r>
              <w:rPr>
                <w:rFonts w:ascii="方正书宋_GBK" w:eastAsia="方正书宋_GBK"/>
              </w:rPr>
              <w:t>C0818</w:t>
            </w:r>
          </w:p>
        </w:tc>
        <w:tc>
          <w:tcPr>
            <w:tcW w:w="679" w:type="dxa"/>
            <w:vAlign w:val="center"/>
          </w:tcPr>
          <w:p>
            <w:pPr>
              <w:spacing w:line="300" w:lineRule="exact"/>
              <w:jc w:val="left"/>
              <w:rPr>
                <w:rFonts w:ascii="方正书宋_GBK" w:eastAsia="方正书宋_GBK"/>
              </w:rPr>
            </w:pPr>
          </w:p>
        </w:tc>
        <w:tc>
          <w:tcPr>
            <w:tcW w:w="957" w:type="dxa"/>
            <w:vAlign w:val="center"/>
          </w:tcPr>
          <w:p>
            <w:pPr>
              <w:spacing w:line="300" w:lineRule="exact"/>
              <w:jc w:val="right"/>
              <w:rPr>
                <w:rFonts w:ascii="方正书宋_GBK" w:eastAsia="方正书宋_GBK"/>
              </w:rPr>
            </w:pPr>
            <w:r>
              <w:rPr>
                <w:rFonts w:hint="eastAsia" w:ascii="方正书宋_GBK" w:eastAsia="方正书宋_GBK"/>
                <w:lang w:val="en-US" w:eastAsia="zh-CN"/>
              </w:rPr>
              <w:t>100.00</w:t>
            </w:r>
          </w:p>
        </w:tc>
        <w:tc>
          <w:tcPr>
            <w:tcW w:w="761" w:type="dxa"/>
            <w:vAlign w:val="center"/>
          </w:tcPr>
          <w:p>
            <w:pPr>
              <w:spacing w:line="300" w:lineRule="exact"/>
              <w:jc w:val="right"/>
              <w:rPr>
                <w:rFonts w:ascii="方正书宋_GBK" w:eastAsia="方正书宋_GBK"/>
              </w:rPr>
            </w:pPr>
            <w:r>
              <w:rPr>
                <w:rFonts w:ascii="方正书宋_GBK" w:eastAsia="方正书宋_GBK"/>
              </w:rPr>
              <w:t>1.00</w:t>
            </w:r>
          </w:p>
        </w:tc>
        <w:tc>
          <w:tcPr>
            <w:tcW w:w="957" w:type="dxa"/>
            <w:vAlign w:val="center"/>
          </w:tcPr>
          <w:p>
            <w:pPr>
              <w:spacing w:line="300" w:lineRule="exact"/>
              <w:jc w:val="right"/>
              <w:rPr>
                <w:rFonts w:ascii="方正书宋_GBK" w:eastAsia="方正书宋_GBK"/>
              </w:rPr>
            </w:pPr>
            <w:r>
              <w:rPr>
                <w:rFonts w:hint="eastAsia" w:ascii="方正书宋_GBK" w:eastAsia="方正书宋_GBK"/>
                <w:lang w:val="en-US" w:eastAsia="zh-CN"/>
              </w:rPr>
              <w:t>100.00</w:t>
            </w:r>
          </w:p>
        </w:tc>
        <w:tc>
          <w:tcPr>
            <w:tcW w:w="957" w:type="dxa"/>
            <w:vAlign w:val="center"/>
          </w:tcPr>
          <w:p>
            <w:pPr>
              <w:spacing w:line="300" w:lineRule="exact"/>
              <w:jc w:val="right"/>
              <w:rPr>
                <w:rFonts w:ascii="方正书宋_GBK" w:eastAsia="方正书宋_GBK"/>
              </w:rPr>
            </w:pPr>
            <w:r>
              <w:rPr>
                <w:rFonts w:hint="eastAsia" w:ascii="方正书宋_GBK" w:eastAsia="方正书宋_GBK"/>
                <w:lang w:val="en-US" w:eastAsia="zh-CN"/>
              </w:rPr>
              <w:t>100.00</w:t>
            </w:r>
          </w:p>
        </w:tc>
        <w:tc>
          <w:tcPr>
            <w:tcW w:w="957" w:type="dxa"/>
            <w:vAlign w:val="center"/>
          </w:tcPr>
          <w:p>
            <w:pPr>
              <w:spacing w:line="300" w:lineRule="exact"/>
              <w:jc w:val="right"/>
              <w:rPr>
                <w:rFonts w:ascii="方正书宋_GBK" w:eastAsia="方正书宋_GBK"/>
              </w:rPr>
            </w:pPr>
            <w:r>
              <w:rPr>
                <w:rFonts w:hint="eastAsia" w:ascii="方正书宋_GBK" w:eastAsia="方正书宋_GBK"/>
                <w:lang w:val="en-US" w:eastAsia="zh-CN"/>
              </w:rPr>
              <w:t>100.00</w:t>
            </w:r>
          </w:p>
        </w:tc>
        <w:tc>
          <w:tcPr>
            <w:tcW w:w="869" w:type="dxa"/>
            <w:vAlign w:val="center"/>
          </w:tcPr>
          <w:p>
            <w:pPr>
              <w:spacing w:line="300" w:lineRule="exact"/>
              <w:jc w:val="right"/>
              <w:rPr>
                <w:rFonts w:ascii="方正书宋_GBK" w:eastAsia="方正书宋_GBK"/>
              </w:rPr>
            </w:pPr>
          </w:p>
        </w:tc>
        <w:tc>
          <w:tcPr>
            <w:tcW w:w="872" w:type="dxa"/>
            <w:vAlign w:val="center"/>
          </w:tcPr>
          <w:p>
            <w:pPr>
              <w:spacing w:line="300" w:lineRule="exact"/>
              <w:jc w:val="right"/>
              <w:rPr>
                <w:rFonts w:ascii="方正书宋_GBK" w:eastAsia="方正书宋_GBK"/>
              </w:rPr>
            </w:pPr>
          </w:p>
        </w:tc>
        <w:tc>
          <w:tcPr>
            <w:tcW w:w="872" w:type="dxa"/>
            <w:vAlign w:val="center"/>
          </w:tcPr>
          <w:p>
            <w:pPr>
              <w:spacing w:line="300" w:lineRule="exact"/>
              <w:jc w:val="right"/>
              <w:rPr>
                <w:rFonts w:ascii="方正书宋_GBK" w:eastAsia="方正书宋_GBK"/>
              </w:rPr>
            </w:pPr>
          </w:p>
        </w:tc>
        <w:tc>
          <w:tcPr>
            <w:tcW w:w="831" w:type="dxa"/>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271" w:type="dxa"/>
            <w:vAlign w:val="center"/>
          </w:tcPr>
          <w:p>
            <w:pPr>
              <w:spacing w:line="300" w:lineRule="exact"/>
              <w:jc w:val="left"/>
              <w:rPr>
                <w:rFonts w:hint="eastAsia" w:ascii="方正书宋_GBK" w:eastAsia="方正书宋_GBK"/>
              </w:rPr>
            </w:pPr>
            <w:r>
              <w:rPr>
                <w:rFonts w:hint="eastAsia" w:ascii="方正书宋_GBK" w:eastAsia="方正书宋_GBK"/>
              </w:rPr>
              <w:t>鹿泉会堂消防设施更换维修</w:t>
            </w:r>
          </w:p>
        </w:tc>
        <w:tc>
          <w:tcPr>
            <w:tcW w:w="998" w:type="dxa"/>
            <w:vAlign w:val="center"/>
          </w:tcPr>
          <w:p>
            <w:pPr>
              <w:spacing w:line="300" w:lineRule="exact"/>
              <w:jc w:val="right"/>
              <w:rPr>
                <w:rFonts w:hint="eastAsia" w:ascii="方正书宋_GBK" w:eastAsia="方正书宋_GBK"/>
                <w:lang w:eastAsia="zh-CN"/>
              </w:rPr>
            </w:pPr>
            <w:r>
              <w:rPr>
                <w:rFonts w:hint="eastAsia" w:ascii="方正书宋_GBK" w:eastAsia="方正书宋_GBK"/>
                <w:lang w:val="en-US" w:eastAsia="zh-CN"/>
              </w:rPr>
              <w:t>60.00</w:t>
            </w:r>
          </w:p>
        </w:tc>
        <w:tc>
          <w:tcPr>
            <w:tcW w:w="880" w:type="dxa"/>
            <w:vAlign w:val="center"/>
          </w:tcPr>
          <w:p>
            <w:pPr>
              <w:spacing w:line="300" w:lineRule="exact"/>
              <w:jc w:val="left"/>
              <w:rPr>
                <w:rFonts w:hint="eastAsia" w:ascii="方正书宋_GBK" w:eastAsia="方正书宋_GBK"/>
              </w:rPr>
            </w:pPr>
            <w:r>
              <w:rPr>
                <w:rFonts w:hint="eastAsia" w:ascii="方正书宋_GBK" w:eastAsia="方正书宋_GBK"/>
              </w:rPr>
              <w:t>消防工程和安防工程</w:t>
            </w:r>
          </w:p>
        </w:tc>
        <w:tc>
          <w:tcPr>
            <w:tcW w:w="891" w:type="dxa"/>
            <w:vAlign w:val="center"/>
          </w:tcPr>
          <w:p>
            <w:pPr>
              <w:spacing w:line="300" w:lineRule="exact"/>
              <w:jc w:val="left"/>
              <w:rPr>
                <w:rFonts w:ascii="方正书宋_GBK" w:eastAsia="方正书宋_GBK"/>
              </w:rPr>
            </w:pPr>
            <w:r>
              <w:rPr>
                <w:rFonts w:ascii="方正书宋_GBK" w:eastAsia="方正书宋_GBK"/>
              </w:rPr>
              <w:t>B0510</w:t>
            </w:r>
          </w:p>
        </w:tc>
        <w:tc>
          <w:tcPr>
            <w:tcW w:w="679" w:type="dxa"/>
            <w:vAlign w:val="center"/>
          </w:tcPr>
          <w:p>
            <w:pPr>
              <w:spacing w:line="300" w:lineRule="exact"/>
              <w:jc w:val="left"/>
              <w:rPr>
                <w:rFonts w:ascii="方正书宋_GBK" w:eastAsia="方正书宋_GBK"/>
              </w:rPr>
            </w:pPr>
          </w:p>
        </w:tc>
        <w:tc>
          <w:tcPr>
            <w:tcW w:w="957" w:type="dxa"/>
            <w:vAlign w:val="center"/>
          </w:tcPr>
          <w:p>
            <w:pPr>
              <w:spacing w:line="300" w:lineRule="exact"/>
              <w:jc w:val="right"/>
              <w:rPr>
                <w:rFonts w:ascii="方正书宋_GBK" w:eastAsia="方正书宋_GBK"/>
              </w:rPr>
            </w:pPr>
            <w:r>
              <w:rPr>
                <w:rFonts w:hint="eastAsia" w:ascii="方正书宋_GBK" w:eastAsia="方正书宋_GBK"/>
                <w:lang w:val="en-US" w:eastAsia="zh-CN"/>
              </w:rPr>
              <w:t>60.00</w:t>
            </w:r>
          </w:p>
        </w:tc>
        <w:tc>
          <w:tcPr>
            <w:tcW w:w="761" w:type="dxa"/>
            <w:vAlign w:val="center"/>
          </w:tcPr>
          <w:p>
            <w:pPr>
              <w:spacing w:line="300" w:lineRule="exact"/>
              <w:jc w:val="right"/>
              <w:rPr>
                <w:rFonts w:ascii="方正书宋_GBK" w:eastAsia="方正书宋_GBK"/>
              </w:rPr>
            </w:pPr>
            <w:r>
              <w:rPr>
                <w:rFonts w:ascii="方正书宋_GBK" w:eastAsia="方正书宋_GBK"/>
              </w:rPr>
              <w:t>1.00</w:t>
            </w:r>
          </w:p>
        </w:tc>
        <w:tc>
          <w:tcPr>
            <w:tcW w:w="957" w:type="dxa"/>
            <w:vAlign w:val="center"/>
          </w:tcPr>
          <w:p>
            <w:pPr>
              <w:spacing w:line="300" w:lineRule="exact"/>
              <w:jc w:val="right"/>
              <w:rPr>
                <w:rFonts w:ascii="方正书宋_GBK" w:eastAsia="方正书宋_GBK"/>
              </w:rPr>
            </w:pPr>
            <w:r>
              <w:rPr>
                <w:rFonts w:hint="eastAsia" w:ascii="方正书宋_GBK" w:eastAsia="方正书宋_GBK"/>
                <w:lang w:val="en-US" w:eastAsia="zh-CN"/>
              </w:rPr>
              <w:t>60.00</w:t>
            </w:r>
          </w:p>
        </w:tc>
        <w:tc>
          <w:tcPr>
            <w:tcW w:w="957" w:type="dxa"/>
            <w:vAlign w:val="center"/>
          </w:tcPr>
          <w:p>
            <w:pPr>
              <w:spacing w:line="300" w:lineRule="exact"/>
              <w:jc w:val="right"/>
              <w:rPr>
                <w:rFonts w:ascii="方正书宋_GBK" w:eastAsia="方正书宋_GBK"/>
              </w:rPr>
            </w:pPr>
            <w:r>
              <w:rPr>
                <w:rFonts w:hint="eastAsia" w:ascii="方正书宋_GBK" w:eastAsia="方正书宋_GBK"/>
                <w:lang w:val="en-US" w:eastAsia="zh-CN"/>
              </w:rPr>
              <w:t>60.00</w:t>
            </w:r>
          </w:p>
        </w:tc>
        <w:tc>
          <w:tcPr>
            <w:tcW w:w="957" w:type="dxa"/>
            <w:vAlign w:val="center"/>
          </w:tcPr>
          <w:p>
            <w:pPr>
              <w:spacing w:line="300" w:lineRule="exact"/>
              <w:jc w:val="right"/>
              <w:rPr>
                <w:rFonts w:ascii="方正书宋_GBK" w:eastAsia="方正书宋_GBK"/>
              </w:rPr>
            </w:pPr>
            <w:r>
              <w:rPr>
                <w:rFonts w:hint="eastAsia" w:ascii="方正书宋_GBK" w:eastAsia="方正书宋_GBK"/>
                <w:lang w:val="en-US" w:eastAsia="zh-CN"/>
              </w:rPr>
              <w:t>60.00</w:t>
            </w:r>
          </w:p>
        </w:tc>
        <w:tc>
          <w:tcPr>
            <w:tcW w:w="869" w:type="dxa"/>
            <w:vAlign w:val="center"/>
          </w:tcPr>
          <w:p>
            <w:pPr>
              <w:spacing w:line="300" w:lineRule="exact"/>
              <w:jc w:val="right"/>
              <w:rPr>
                <w:rFonts w:ascii="方正书宋_GBK" w:eastAsia="方正书宋_GBK"/>
              </w:rPr>
            </w:pPr>
          </w:p>
        </w:tc>
        <w:tc>
          <w:tcPr>
            <w:tcW w:w="872" w:type="dxa"/>
            <w:vAlign w:val="center"/>
          </w:tcPr>
          <w:p>
            <w:pPr>
              <w:spacing w:line="300" w:lineRule="exact"/>
              <w:jc w:val="right"/>
              <w:rPr>
                <w:rFonts w:ascii="方正书宋_GBK" w:eastAsia="方正书宋_GBK"/>
              </w:rPr>
            </w:pPr>
          </w:p>
        </w:tc>
        <w:tc>
          <w:tcPr>
            <w:tcW w:w="872" w:type="dxa"/>
            <w:vAlign w:val="center"/>
          </w:tcPr>
          <w:p>
            <w:pPr>
              <w:spacing w:line="300" w:lineRule="exact"/>
              <w:jc w:val="right"/>
              <w:rPr>
                <w:rFonts w:ascii="方正书宋_GBK" w:eastAsia="方正书宋_GBK"/>
              </w:rPr>
            </w:pPr>
          </w:p>
        </w:tc>
        <w:tc>
          <w:tcPr>
            <w:tcW w:w="831" w:type="dxa"/>
            <w:vAlign w:val="center"/>
          </w:tcPr>
          <w:p>
            <w:pPr>
              <w:spacing w:line="300" w:lineRule="exact"/>
              <w:jc w:val="right"/>
              <w:rPr>
                <w:rFonts w:ascii="方正书宋_GBK" w:eastAsia="方正书宋_GBK"/>
              </w:rPr>
            </w:pPr>
          </w:p>
        </w:tc>
      </w:tr>
    </w:tbl>
    <w:p>
      <w:pPr>
        <w:spacing w:line="300" w:lineRule="exact"/>
        <w:jc w:val="left"/>
        <w:outlineLvl w:val="0"/>
        <w:rPr>
          <w:rFonts w:hint="eastAsia"/>
        </w:rPr>
        <w:sectPr>
          <w:pgSz w:w="16838" w:h="11906" w:orient="landscape"/>
          <w:pgMar w:top="1077" w:right="1440" w:bottom="1077" w:left="1440" w:header="851" w:footer="992" w:gutter="0"/>
          <w:cols w:space="720" w:num="1"/>
          <w:docGrid w:linePitch="312" w:charSpace="0"/>
        </w:sectPr>
      </w:pPr>
    </w:p>
    <w:p>
      <w:pPr>
        <w:ind w:firstLine="640" w:firstLineChars="200"/>
        <w:jc w:val="left"/>
        <w:outlineLvl w:val="0"/>
        <w:rPr>
          <w:rFonts w:hint="eastAsia" w:ascii="仿宋_GB2312" w:hAnsi="宋体" w:eastAsia="仿宋_GB2312"/>
          <w:color w:val="FF0000"/>
          <w:sz w:val="32"/>
          <w:szCs w:val="32"/>
        </w:rPr>
      </w:pPr>
      <w:r>
        <w:rPr>
          <w:rFonts w:hint="eastAsia" w:ascii="仿宋_GB2312" w:hAnsi="宋体" w:eastAsia="仿宋_GB2312"/>
          <w:color w:val="FF0000"/>
          <w:sz w:val="32"/>
          <w:szCs w:val="32"/>
        </w:rPr>
        <w:t>七、国有资产信息</w:t>
      </w:r>
    </w:p>
    <w:p>
      <w:pPr>
        <w:ind w:firstLine="640" w:firstLineChars="200"/>
        <w:outlineLvl w:val="0"/>
        <w:rPr>
          <w:rFonts w:hint="eastAsia" w:ascii="仿宋_GB2312" w:hAnsi="宋体" w:eastAsia="仿宋_GB2312"/>
          <w:sz w:val="32"/>
          <w:szCs w:val="32"/>
        </w:rPr>
      </w:pPr>
      <w:r>
        <w:rPr>
          <w:rFonts w:hint="eastAsia" w:ascii="仿宋_GB2312" w:hAnsi="宋体" w:eastAsia="仿宋_GB2312"/>
          <w:sz w:val="32"/>
          <w:szCs w:val="32"/>
        </w:rPr>
        <w:t>201</w:t>
      </w:r>
      <w:r>
        <w:rPr>
          <w:rFonts w:hint="eastAsia" w:ascii="仿宋_GB2312" w:hAnsi="宋体" w:eastAsia="仿宋_GB2312"/>
          <w:sz w:val="32"/>
          <w:szCs w:val="32"/>
          <w:lang w:val="en-US" w:eastAsia="zh-CN"/>
        </w:rPr>
        <w:t>8</w:t>
      </w:r>
      <w:r>
        <w:rPr>
          <w:rFonts w:hint="eastAsia" w:ascii="仿宋_GB2312" w:hAnsi="宋体" w:eastAsia="仿宋_GB2312"/>
          <w:sz w:val="32"/>
          <w:szCs w:val="32"/>
        </w:rPr>
        <w:t>年初固定资产2459.32万元，201</w:t>
      </w:r>
      <w:r>
        <w:rPr>
          <w:rFonts w:hint="eastAsia" w:ascii="仿宋_GB2312" w:hAnsi="宋体" w:eastAsia="仿宋_GB2312"/>
          <w:sz w:val="32"/>
          <w:szCs w:val="32"/>
          <w:lang w:val="en-US" w:eastAsia="zh-CN"/>
        </w:rPr>
        <w:t>8</w:t>
      </w:r>
      <w:r>
        <w:rPr>
          <w:rFonts w:hint="eastAsia" w:ascii="仿宋_GB2312" w:hAnsi="宋体" w:eastAsia="仿宋_GB2312"/>
          <w:sz w:val="32"/>
          <w:szCs w:val="32"/>
        </w:rPr>
        <w:t>年末固定资产2576.66万元。其中：房屋1973.71万元，汽车62.58万元、其他固定资产540.37万元。固定资产新增117.34万元.201</w:t>
      </w:r>
      <w:r>
        <w:rPr>
          <w:rFonts w:hint="eastAsia" w:ascii="仿宋_GB2312" w:hAnsi="宋体" w:eastAsia="仿宋_GB2312"/>
          <w:sz w:val="32"/>
          <w:szCs w:val="32"/>
          <w:lang w:val="en-US" w:eastAsia="zh-CN"/>
        </w:rPr>
        <w:t>9</w:t>
      </w:r>
      <w:r>
        <w:rPr>
          <w:rFonts w:hint="eastAsia" w:ascii="仿宋_GB2312" w:hAnsi="宋体" w:eastAsia="仿宋_GB2312"/>
          <w:sz w:val="32"/>
          <w:szCs w:val="32"/>
        </w:rPr>
        <w:t>年无新增固定资产计划。</w:t>
      </w:r>
    </w:p>
    <w:p>
      <w:pPr>
        <w:jc w:val="center"/>
        <w:outlineLvl w:val="0"/>
        <w:rPr>
          <w:rFonts w:hint="eastAsia" w:ascii="仿宋" w:hAnsi="仿宋" w:eastAsia="仿宋"/>
          <w:b/>
          <w:sz w:val="44"/>
          <w:szCs w:val="44"/>
        </w:rPr>
      </w:pPr>
      <w:r>
        <w:rPr>
          <w:rFonts w:hint="eastAsia" w:ascii="仿宋" w:hAnsi="仿宋" w:eastAsia="仿宋"/>
          <w:b/>
          <w:sz w:val="44"/>
          <w:szCs w:val="44"/>
        </w:rPr>
        <w:t>固定资产占用情况表</w:t>
      </w:r>
    </w:p>
    <w:p>
      <w:pPr>
        <w:ind w:firstLine="1600" w:firstLineChars="500"/>
        <w:jc w:val="right"/>
        <w:outlineLvl w:val="0"/>
        <w:rPr>
          <w:rFonts w:hint="eastAsia" w:ascii="仿宋" w:hAnsi="仿宋" w:eastAsia="仿宋"/>
          <w:sz w:val="32"/>
          <w:szCs w:val="32"/>
        </w:rPr>
      </w:pPr>
      <w:r>
        <w:rPr>
          <w:rFonts w:hint="eastAsia" w:ascii="仿宋" w:hAnsi="仿宋" w:eastAsia="仿宋"/>
          <w:sz w:val="32"/>
          <w:szCs w:val="32"/>
        </w:rPr>
        <w:t>截至日期：201</w:t>
      </w:r>
      <w:r>
        <w:rPr>
          <w:rFonts w:hint="eastAsia" w:ascii="仿宋" w:hAnsi="仿宋" w:eastAsia="仿宋"/>
          <w:sz w:val="32"/>
          <w:szCs w:val="32"/>
          <w:lang w:val="en-US" w:eastAsia="zh-CN"/>
        </w:rPr>
        <w:t>8</w:t>
      </w:r>
      <w:bookmarkStart w:id="2" w:name="_GoBack"/>
      <w:bookmarkEnd w:id="2"/>
      <w:r>
        <w:rPr>
          <w:rFonts w:hint="eastAsia" w:ascii="仿宋" w:hAnsi="仿宋" w:eastAsia="仿宋"/>
          <w:sz w:val="32"/>
          <w:szCs w:val="32"/>
        </w:rPr>
        <w:t>年12月31日</w:t>
      </w:r>
    </w:p>
    <w:tbl>
      <w:tblPr>
        <w:tblStyle w:val="13"/>
        <w:tblW w:w="138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8"/>
        <w:gridCol w:w="3342"/>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trPr>
        <w:tc>
          <w:tcPr>
            <w:tcW w:w="5858" w:type="dxa"/>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项目</w:t>
            </w:r>
          </w:p>
        </w:tc>
        <w:tc>
          <w:tcPr>
            <w:tcW w:w="3342" w:type="dxa"/>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数量</w:t>
            </w:r>
          </w:p>
        </w:tc>
        <w:tc>
          <w:tcPr>
            <w:tcW w:w="4600" w:type="dxa"/>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价值（金额单位：万元）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trPr>
        <w:tc>
          <w:tcPr>
            <w:tcW w:w="5858" w:type="dxa"/>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资产总额</w:t>
            </w:r>
          </w:p>
        </w:tc>
        <w:tc>
          <w:tcPr>
            <w:tcW w:w="3342" w:type="dxa"/>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w:t>
            </w:r>
          </w:p>
        </w:tc>
        <w:tc>
          <w:tcPr>
            <w:tcW w:w="4600" w:type="dxa"/>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2576.66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trPr>
        <w:tc>
          <w:tcPr>
            <w:tcW w:w="5858" w:type="dxa"/>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1、房屋（平方米）</w:t>
            </w:r>
          </w:p>
        </w:tc>
        <w:tc>
          <w:tcPr>
            <w:tcW w:w="3342" w:type="dxa"/>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8522</w:t>
            </w:r>
          </w:p>
        </w:tc>
        <w:tc>
          <w:tcPr>
            <w:tcW w:w="4600" w:type="dxa"/>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1973.71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trPr>
        <w:tc>
          <w:tcPr>
            <w:tcW w:w="5858" w:type="dxa"/>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2、车辆（台、辆）</w:t>
            </w:r>
          </w:p>
        </w:tc>
        <w:tc>
          <w:tcPr>
            <w:tcW w:w="3342" w:type="dxa"/>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4</w:t>
            </w:r>
          </w:p>
        </w:tc>
        <w:tc>
          <w:tcPr>
            <w:tcW w:w="4600" w:type="dxa"/>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62.58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trPr>
        <w:tc>
          <w:tcPr>
            <w:tcW w:w="5858" w:type="dxa"/>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3、单价在20万元以上的设备</w:t>
            </w:r>
          </w:p>
        </w:tc>
        <w:tc>
          <w:tcPr>
            <w:tcW w:w="3342" w:type="dxa"/>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w:t>
            </w:r>
          </w:p>
        </w:tc>
        <w:tc>
          <w:tcPr>
            <w:tcW w:w="4600" w:type="dxa"/>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64" w:hRule="atLeast"/>
        </w:trPr>
        <w:tc>
          <w:tcPr>
            <w:tcW w:w="5858" w:type="dxa"/>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4、其他固定资产</w:t>
            </w:r>
          </w:p>
        </w:tc>
        <w:tc>
          <w:tcPr>
            <w:tcW w:w="3342" w:type="dxa"/>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w:t>
            </w:r>
          </w:p>
        </w:tc>
        <w:tc>
          <w:tcPr>
            <w:tcW w:w="4600" w:type="dxa"/>
            <w:vAlign w:val="center"/>
          </w:tcPr>
          <w:p>
            <w:pPr>
              <w:jc w:val="center"/>
              <w:outlineLvl w:val="0"/>
              <w:rPr>
                <w:rFonts w:hint="eastAsia" w:ascii="仿宋_GB2312" w:hAnsi="宋体" w:eastAsia="仿宋_GB2312"/>
                <w:sz w:val="32"/>
                <w:szCs w:val="32"/>
              </w:rPr>
            </w:pPr>
            <w:r>
              <w:rPr>
                <w:rFonts w:hint="eastAsia" w:ascii="仿宋_GB2312" w:hAnsi="宋体" w:eastAsia="仿宋_GB2312"/>
                <w:sz w:val="32"/>
                <w:szCs w:val="32"/>
              </w:rPr>
              <w:t>540.37</w:t>
            </w:r>
          </w:p>
        </w:tc>
      </w:tr>
    </w:tbl>
    <w:p>
      <w:pPr>
        <w:pStyle w:val="19"/>
        <w:ind w:firstLine="630" w:firstLineChars="196"/>
        <w:rPr>
          <w:rFonts w:hint="eastAsia" w:hAnsi="宋体"/>
          <w:b/>
          <w:sz w:val="44"/>
          <w:szCs w:val="44"/>
          <w:lang w:eastAsia="zh-CN"/>
        </w:rPr>
      </w:pPr>
      <w:r>
        <w:rPr>
          <w:rFonts w:hint="eastAsia" w:hAnsi="宋体" w:cs="宋体"/>
          <w:b/>
          <w:sz w:val="32"/>
          <w:szCs w:val="32"/>
          <w:lang w:eastAsia="zh-CN"/>
        </w:rPr>
        <w:t>八、</w:t>
      </w:r>
      <w:r>
        <w:rPr>
          <w:rFonts w:hint="eastAsia" w:hAnsi="宋体"/>
          <w:b/>
          <w:sz w:val="32"/>
          <w:szCs w:val="32"/>
          <w:lang w:eastAsia="zh-CN"/>
        </w:rPr>
        <w:t>名词解释</w:t>
      </w:r>
    </w:p>
    <w:p>
      <w:pPr>
        <w:ind w:firstLine="628" w:firstLineChars="196"/>
        <w:rPr>
          <w:rFonts w:hint="eastAsia" w:ascii="仿宋" w:hAnsi="仿宋" w:eastAsia="仿宋"/>
          <w:b/>
          <w:sz w:val="32"/>
          <w:szCs w:val="32"/>
        </w:rPr>
      </w:pPr>
      <w:r>
        <w:rPr>
          <w:rFonts w:hint="eastAsia" w:ascii="仿宋" w:hAnsi="仿宋" w:eastAsia="仿宋"/>
          <w:b/>
          <w:sz w:val="32"/>
          <w:szCs w:val="32"/>
        </w:rPr>
        <w:t>(1).财政拨款收入</w:t>
      </w:r>
    </w:p>
    <w:p>
      <w:pPr>
        <w:ind w:firstLine="640" w:firstLineChars="200"/>
        <w:rPr>
          <w:rFonts w:hint="eastAsia" w:ascii="仿宋" w:hAnsi="仿宋" w:eastAsia="仿宋"/>
          <w:sz w:val="32"/>
          <w:szCs w:val="32"/>
        </w:rPr>
      </w:pPr>
      <w:r>
        <w:rPr>
          <w:rFonts w:hint="eastAsia" w:ascii="仿宋" w:hAnsi="仿宋" w:eastAsia="仿宋"/>
          <w:sz w:val="32"/>
          <w:szCs w:val="32"/>
        </w:rPr>
        <w:t>财政拨款收入是指财政部门按照批复的预算核拨给单位的财政预算资金。</w:t>
      </w:r>
    </w:p>
    <w:p>
      <w:pPr>
        <w:ind w:firstLine="720"/>
        <w:rPr>
          <w:rFonts w:hint="eastAsia" w:ascii="仿宋" w:hAnsi="仿宋" w:eastAsia="仿宋"/>
          <w:b/>
          <w:sz w:val="32"/>
          <w:szCs w:val="32"/>
        </w:rPr>
      </w:pPr>
      <w:r>
        <w:rPr>
          <w:rFonts w:hint="eastAsia" w:ascii="仿宋" w:hAnsi="仿宋" w:eastAsia="仿宋"/>
          <w:b/>
          <w:sz w:val="32"/>
          <w:szCs w:val="32"/>
        </w:rPr>
        <w:t>(2).基本支出、项目支出</w:t>
      </w:r>
    </w:p>
    <w:p>
      <w:pPr>
        <w:ind w:firstLine="720"/>
        <w:rPr>
          <w:rFonts w:hint="eastAsia" w:ascii="仿宋" w:hAnsi="仿宋" w:eastAsia="仿宋"/>
          <w:sz w:val="32"/>
          <w:szCs w:val="32"/>
        </w:rPr>
      </w:pPr>
      <w:r>
        <w:rPr>
          <w:rFonts w:hint="eastAsia" w:ascii="仿宋" w:hAnsi="仿宋" w:eastAsia="仿宋"/>
          <w:sz w:val="32"/>
          <w:szCs w:val="32"/>
        </w:rPr>
        <w:t>基本支出是指预算单位为保障机构正常运转和完成日常工作而发生的各项支出，包括人员经费和日常公用经费。</w:t>
      </w:r>
    </w:p>
    <w:p>
      <w:pPr>
        <w:ind w:firstLine="720"/>
        <w:rPr>
          <w:rFonts w:hint="eastAsia" w:ascii="仿宋" w:hAnsi="仿宋" w:eastAsia="仿宋"/>
          <w:sz w:val="32"/>
          <w:szCs w:val="32"/>
        </w:rPr>
      </w:pPr>
      <w:r>
        <w:rPr>
          <w:rFonts w:hint="eastAsia" w:ascii="仿宋" w:hAnsi="仿宋" w:eastAsia="仿宋"/>
          <w:sz w:val="32"/>
          <w:szCs w:val="32"/>
        </w:rPr>
        <w:t>项目支出是指在基本支出之外完成特定行政任务和事业发展目标所发生的支出。</w:t>
      </w:r>
    </w:p>
    <w:p>
      <w:pPr>
        <w:ind w:firstLine="720"/>
        <w:rPr>
          <w:rFonts w:hint="eastAsia" w:ascii="仿宋" w:hAnsi="仿宋" w:eastAsia="仿宋"/>
          <w:b/>
          <w:sz w:val="32"/>
          <w:szCs w:val="32"/>
        </w:rPr>
      </w:pPr>
      <w:r>
        <w:rPr>
          <w:rFonts w:hint="eastAsia" w:ascii="仿宋" w:hAnsi="仿宋" w:eastAsia="仿宋"/>
          <w:b/>
          <w:sz w:val="32"/>
          <w:szCs w:val="32"/>
        </w:rPr>
        <w:t>(3).一般公共服务支出</w:t>
      </w:r>
    </w:p>
    <w:p>
      <w:pPr>
        <w:ind w:firstLine="720"/>
        <w:rPr>
          <w:rFonts w:hint="eastAsia" w:ascii="仿宋" w:hAnsi="仿宋" w:eastAsia="仿宋"/>
          <w:sz w:val="32"/>
          <w:szCs w:val="32"/>
        </w:rPr>
      </w:pPr>
      <w:r>
        <w:rPr>
          <w:rFonts w:hint="eastAsia" w:ascii="仿宋" w:hAnsi="仿宋" w:eastAsia="仿宋"/>
          <w:sz w:val="32"/>
          <w:szCs w:val="32"/>
        </w:rPr>
        <w:t>一般公共服务支出是指反映预算单位一般公共服务的支出。</w:t>
      </w:r>
    </w:p>
    <w:p>
      <w:pPr>
        <w:ind w:firstLine="720"/>
        <w:rPr>
          <w:rFonts w:hint="eastAsia" w:ascii="仿宋" w:hAnsi="仿宋" w:eastAsia="仿宋"/>
          <w:b/>
          <w:sz w:val="32"/>
          <w:szCs w:val="32"/>
        </w:rPr>
      </w:pPr>
      <w:r>
        <w:rPr>
          <w:rFonts w:hint="eastAsia" w:ascii="仿宋" w:hAnsi="仿宋" w:eastAsia="仿宋"/>
          <w:b/>
          <w:sz w:val="32"/>
          <w:szCs w:val="32"/>
        </w:rPr>
        <w:t>(4).社会保障和就业支出</w:t>
      </w:r>
    </w:p>
    <w:p>
      <w:pPr>
        <w:ind w:firstLine="720"/>
        <w:rPr>
          <w:rFonts w:hint="eastAsia" w:ascii="仿宋" w:hAnsi="仿宋" w:eastAsia="仿宋"/>
          <w:sz w:val="32"/>
          <w:szCs w:val="32"/>
        </w:rPr>
      </w:pPr>
      <w:r>
        <w:rPr>
          <w:rFonts w:hint="eastAsia" w:ascii="仿宋" w:hAnsi="仿宋" w:eastAsia="仿宋"/>
          <w:sz w:val="32"/>
          <w:szCs w:val="32"/>
        </w:rPr>
        <w:t>社会保障和就业支出是指预算单位在社会保障和就业方面的支出。</w:t>
      </w:r>
    </w:p>
    <w:p>
      <w:pPr>
        <w:ind w:firstLine="720"/>
        <w:rPr>
          <w:rFonts w:hint="eastAsia" w:ascii="仿宋" w:hAnsi="仿宋" w:eastAsia="仿宋"/>
          <w:b/>
          <w:sz w:val="32"/>
          <w:szCs w:val="32"/>
        </w:rPr>
      </w:pPr>
      <w:r>
        <w:rPr>
          <w:rFonts w:hint="eastAsia" w:ascii="仿宋" w:hAnsi="仿宋" w:eastAsia="仿宋"/>
          <w:b/>
          <w:sz w:val="32"/>
          <w:szCs w:val="32"/>
        </w:rPr>
        <w:t>(5).机关运行经费</w:t>
      </w:r>
    </w:p>
    <w:p>
      <w:pPr>
        <w:ind w:firstLine="720"/>
        <w:rPr>
          <w:rFonts w:hint="eastAsia" w:ascii="仿宋" w:hAnsi="仿宋" w:eastAsia="仿宋"/>
          <w:sz w:val="32"/>
          <w:szCs w:val="32"/>
        </w:rPr>
      </w:pPr>
      <w:r>
        <w:rPr>
          <w:rFonts w:hint="eastAsia" w:ascii="仿宋" w:hAnsi="仿宋" w:eastAsia="仿宋"/>
          <w:sz w:val="32"/>
          <w:szCs w:val="32"/>
        </w:rPr>
        <w:t>机关运行经费是指为保障行政单位运行支出的用于购买货物、服务的各项资金，包括办公费、印刷费、邮电费、差旅费、会议费、福利费、日常维修费、专用材料及一般设备购置费、办公用房水电费、公务用车运行维护费及其他费用。</w:t>
      </w:r>
    </w:p>
    <w:p>
      <w:pPr>
        <w:ind w:firstLine="720"/>
        <w:rPr>
          <w:rFonts w:hint="eastAsia" w:ascii="仿宋" w:hAnsi="仿宋" w:eastAsia="仿宋"/>
          <w:b/>
          <w:sz w:val="32"/>
          <w:szCs w:val="32"/>
        </w:rPr>
      </w:pPr>
      <w:r>
        <w:rPr>
          <w:rFonts w:hint="eastAsia" w:ascii="仿宋" w:hAnsi="仿宋" w:eastAsia="仿宋"/>
          <w:b/>
          <w:sz w:val="32"/>
          <w:szCs w:val="32"/>
        </w:rPr>
        <w:t>(6).“三公”经费</w:t>
      </w:r>
    </w:p>
    <w:p>
      <w:pPr>
        <w:ind w:firstLine="720"/>
        <w:rPr>
          <w:rFonts w:hint="eastAsia" w:ascii="仿宋" w:hAnsi="仿宋" w:eastAsia="仿宋"/>
          <w:sz w:val="32"/>
          <w:szCs w:val="32"/>
        </w:rPr>
      </w:pPr>
      <w:r>
        <w:rPr>
          <w:rFonts w:hint="eastAsia" w:ascii="仿宋" w:hAnsi="仿宋" w:eastAsia="仿宋"/>
          <w:sz w:val="32"/>
          <w:szCs w:val="32"/>
        </w:rPr>
        <w:t>“三公”经费是指因公出国（境）费、公务用车购置及运行维护费和公务接待费。</w:t>
      </w:r>
    </w:p>
    <w:p>
      <w:pPr>
        <w:ind w:firstLine="720"/>
        <w:rPr>
          <w:rFonts w:hint="eastAsia" w:ascii="仿宋" w:hAnsi="仿宋" w:eastAsia="仿宋"/>
          <w:sz w:val="32"/>
          <w:szCs w:val="32"/>
        </w:rPr>
      </w:pPr>
      <w:r>
        <w:rPr>
          <w:rFonts w:hint="eastAsia" w:ascii="仿宋" w:hAnsi="仿宋" w:eastAsia="仿宋"/>
          <w:sz w:val="32"/>
          <w:szCs w:val="32"/>
        </w:rPr>
        <w:t>因公出国（境）费是指单位公务出国（境）的国际旅费、国外城市间交通费、住宿费、伙食费、培训费、公杂费等支出。</w:t>
      </w:r>
    </w:p>
    <w:p>
      <w:pPr>
        <w:ind w:firstLine="720"/>
        <w:rPr>
          <w:rFonts w:hint="eastAsia" w:ascii="仿宋" w:hAnsi="仿宋" w:eastAsia="仿宋"/>
          <w:sz w:val="32"/>
          <w:szCs w:val="32"/>
        </w:rPr>
      </w:pPr>
      <w:r>
        <w:rPr>
          <w:rFonts w:hint="eastAsia" w:ascii="仿宋" w:hAnsi="仿宋" w:eastAsia="仿宋"/>
          <w:sz w:val="32"/>
          <w:szCs w:val="32"/>
        </w:rPr>
        <w:t>公务用车购置及运行维护费是指单位购置公务用车及公务用车租用费、燃料费、维修费、路桥费、保险费等支出。</w:t>
      </w:r>
    </w:p>
    <w:p>
      <w:pPr>
        <w:ind w:firstLine="720"/>
        <w:rPr>
          <w:rFonts w:hint="eastAsia" w:ascii="仿宋" w:hAnsi="仿宋" w:eastAsia="仿宋"/>
          <w:sz w:val="32"/>
          <w:szCs w:val="32"/>
        </w:rPr>
      </w:pPr>
      <w:r>
        <w:rPr>
          <w:rFonts w:hint="eastAsia" w:ascii="仿宋" w:hAnsi="仿宋" w:eastAsia="仿宋"/>
          <w:sz w:val="32"/>
          <w:szCs w:val="32"/>
        </w:rPr>
        <w:t>公务接待费是指单位按规定开支的各类公务接待（含外宾接待）费用。</w:t>
      </w:r>
    </w:p>
    <w:p>
      <w:pPr>
        <w:widowControl/>
        <w:spacing w:line="580" w:lineRule="atLeast"/>
        <w:ind w:firstLine="643" w:firstLineChars="200"/>
        <w:rPr>
          <w:rFonts w:hint="eastAsia" w:ascii="宋体" w:hAnsi="宋体" w:cs="宋体"/>
          <w:b/>
          <w:kern w:val="0"/>
          <w:sz w:val="32"/>
          <w:szCs w:val="32"/>
        </w:rPr>
      </w:pPr>
      <w:r>
        <w:rPr>
          <w:rFonts w:hint="eastAsia" w:ascii="宋体" w:hAnsi="宋体" w:cs="宋体"/>
          <w:b/>
          <w:kern w:val="0"/>
          <w:sz w:val="32"/>
          <w:szCs w:val="32"/>
        </w:rPr>
        <w:t>九、其他重要事项情况说明</w:t>
      </w:r>
    </w:p>
    <w:p>
      <w:pPr>
        <w:widowControl/>
        <w:spacing w:line="580" w:lineRule="atLeast"/>
        <w:ind w:firstLine="640" w:firstLineChars="200"/>
        <w:rPr>
          <w:rFonts w:hint="eastAsia" w:ascii="宋体" w:hAnsi="宋体" w:cs="宋体"/>
          <w:kern w:val="0"/>
          <w:sz w:val="32"/>
          <w:szCs w:val="32"/>
        </w:rPr>
      </w:pPr>
      <w:r>
        <w:rPr>
          <w:rFonts w:hint="eastAsia" w:ascii="仿宋" w:hAnsi="仿宋" w:eastAsia="仿宋"/>
          <w:sz w:val="32"/>
          <w:szCs w:val="32"/>
        </w:rPr>
        <w:t>我单位无其他重要事项情况。</w:t>
      </w:r>
    </w:p>
    <w:p>
      <w:pPr>
        <w:ind w:firstLine="640" w:firstLineChars="200"/>
        <w:rPr>
          <w:rFonts w:hint="eastAsia" w:ascii="仿宋" w:hAnsi="仿宋" w:eastAsia="仿宋" w:cs="仿宋"/>
          <w:sz w:val="32"/>
          <w:szCs w:val="3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方正小标宋_GBK">
    <w:altName w:val="Arial Unicode MS"/>
    <w:panose1 w:val="00000000000000000000"/>
    <w:charset w:val="86"/>
    <w:family w:val="script"/>
    <w:pitch w:val="default"/>
    <w:sig w:usb0="00000000" w:usb1="00000000" w:usb2="00000010" w:usb3="00000000" w:csb0="00040000" w:csb1="00000000"/>
  </w:font>
  <w:font w:name="方正仿宋_GBK">
    <w:altName w:val="Arial Unicode MS"/>
    <w:panose1 w:val="00000000000000000000"/>
    <w:charset w:val="86"/>
    <w:family w:val="script"/>
    <w:pitch w:val="default"/>
    <w:sig w:usb0="00000000" w:usb1="00000000" w:usb2="0000001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方正书宋_GBK">
    <w:altName w:val="Arial Unicode MS"/>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altName w:val="楷体_GB2312"/>
    <w:panose1 w:val="02010609060101010101"/>
    <w:charset w:val="86"/>
    <w:family w:val="auto"/>
    <w:pitch w:val="default"/>
    <w:sig w:usb0="00000000" w:usb1="00000000" w:usb2="00000016" w:usb3="00000000" w:csb0="00040001" w:csb1="00000000"/>
  </w:font>
  <w:font w:name="新宋体">
    <w:panose1 w:val="02010609030101010101"/>
    <w:charset w:val="86"/>
    <w:family w:val="auto"/>
    <w:pitch w:val="default"/>
    <w:sig w:usb0="00000003" w:usb1="080E0000" w:usb2="00000000" w:usb3="00000000" w:csb0="00040001" w:csb1="00000000"/>
  </w:font>
  <w:font w:name="MS Gothic">
    <w:panose1 w:val="020B0609070205080204"/>
    <w:charset w:val="80"/>
    <w:family w:val="modern"/>
    <w:pitch w:val="default"/>
    <w:sig w:usb0="A00002BF" w:usb1="68C7FCFB" w:usb2="00000010" w:usb3="00000000" w:csb0="4002009F" w:csb1="DFD70000"/>
  </w:font>
  <w:font w:name="微软雅黑">
    <w:panose1 w:val="020B0503020204020204"/>
    <w:charset w:val="86"/>
    <w:family w:val="auto"/>
    <w:pitch w:val="default"/>
    <w:sig w:usb0="80000287" w:usb1="1A0F3C52" w:usb2="00000010" w:usb3="00000000" w:csb0="0004001F" w:csb1="00000000"/>
  </w:font>
  <w:font w:name="方正小标宋简体">
    <w:panose1 w:val="03000509000000000000"/>
    <w:charset w:val="86"/>
    <w:family w:val="auto"/>
    <w:pitch w:val="default"/>
    <w:sig w:usb0="00000001" w:usb1="080E0000" w:usb2="00000000" w:usb3="00000000" w:csb0="00040000" w:csb1="00000000"/>
  </w:font>
  <w:font w:name="Courier New">
    <w:panose1 w:val="02070309020205020404"/>
    <w:charset w:val="00"/>
    <w:family w:val="modern"/>
    <w:pitch w:val="default"/>
    <w:sig w:usb0="00007A87" w:usb1="80000000" w:usb2="00000008" w:usb3="00000000" w:csb0="400001FF" w:csb1="FFFF0000"/>
  </w:font>
  <w:font w:name="方正楷体_GBK">
    <w:altName w:val="宋体"/>
    <w:panose1 w:val="00000000000000000000"/>
    <w:charset w:val="86"/>
    <w:family w:val="roman"/>
    <w:pitch w:val="default"/>
    <w:sig w:usb0="00000000" w:usb1="00000000" w:usb2="00000000" w:usb3="00000000" w:csb0="00040001" w:csb1="00000000"/>
  </w:font>
  <w:font w:name="方正黑体_GBK">
    <w:altName w:val="宋体"/>
    <w:panose1 w:val="00000000000000000000"/>
    <w:charset w:val="86"/>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80CC15"/>
    <w:multiLevelType w:val="singleLevel"/>
    <w:tmpl w:val="5C80CC15"/>
    <w:lvl w:ilvl="0" w:tentative="0">
      <w:start w:val="2"/>
      <w:numFmt w:val="chineseCounting"/>
      <w:suff w:val="nothing"/>
      <w:lvlText w:val="%1、"/>
      <w:lvlJc w:val="left"/>
    </w:lvl>
  </w:abstractNum>
  <w:abstractNum w:abstractNumId="1">
    <w:nsid w:val="5C80CC54"/>
    <w:multiLevelType w:val="singleLevel"/>
    <w:tmpl w:val="5C80CC54"/>
    <w:lvl w:ilvl="0" w:tentative="0">
      <w:start w:val="4"/>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66032"/>
    <w:rsid w:val="00034786"/>
    <w:rsid w:val="00037AF6"/>
    <w:rsid w:val="00042F57"/>
    <w:rsid w:val="0006483E"/>
    <w:rsid w:val="00075D5F"/>
    <w:rsid w:val="0008102F"/>
    <w:rsid w:val="000B529B"/>
    <w:rsid w:val="000C3A19"/>
    <w:rsid w:val="001245BB"/>
    <w:rsid w:val="001251A3"/>
    <w:rsid w:val="00165294"/>
    <w:rsid w:val="001B4EF3"/>
    <w:rsid w:val="001F7873"/>
    <w:rsid w:val="00241FD4"/>
    <w:rsid w:val="00251B12"/>
    <w:rsid w:val="00296113"/>
    <w:rsid w:val="002A673A"/>
    <w:rsid w:val="002C07BE"/>
    <w:rsid w:val="002C5E13"/>
    <w:rsid w:val="002C62BC"/>
    <w:rsid w:val="002E0EB8"/>
    <w:rsid w:val="002F3E58"/>
    <w:rsid w:val="0030542C"/>
    <w:rsid w:val="00311B7A"/>
    <w:rsid w:val="00372FA3"/>
    <w:rsid w:val="003D417F"/>
    <w:rsid w:val="003F60E9"/>
    <w:rsid w:val="004248B8"/>
    <w:rsid w:val="00424943"/>
    <w:rsid w:val="0043175C"/>
    <w:rsid w:val="00437296"/>
    <w:rsid w:val="00451590"/>
    <w:rsid w:val="00451871"/>
    <w:rsid w:val="004631FC"/>
    <w:rsid w:val="004706DE"/>
    <w:rsid w:val="00472923"/>
    <w:rsid w:val="00496109"/>
    <w:rsid w:val="004B0C3A"/>
    <w:rsid w:val="004D5788"/>
    <w:rsid w:val="004E3066"/>
    <w:rsid w:val="004E74CD"/>
    <w:rsid w:val="00516E04"/>
    <w:rsid w:val="00565588"/>
    <w:rsid w:val="00572067"/>
    <w:rsid w:val="00573562"/>
    <w:rsid w:val="00590ECE"/>
    <w:rsid w:val="00592ADD"/>
    <w:rsid w:val="00614A29"/>
    <w:rsid w:val="00643AA7"/>
    <w:rsid w:val="00673D76"/>
    <w:rsid w:val="00674CD7"/>
    <w:rsid w:val="006854F0"/>
    <w:rsid w:val="006B1C4A"/>
    <w:rsid w:val="006B610D"/>
    <w:rsid w:val="006E49F5"/>
    <w:rsid w:val="007013C8"/>
    <w:rsid w:val="00717B1E"/>
    <w:rsid w:val="00753836"/>
    <w:rsid w:val="0075393C"/>
    <w:rsid w:val="00754592"/>
    <w:rsid w:val="00776C08"/>
    <w:rsid w:val="007C219A"/>
    <w:rsid w:val="007E1DA8"/>
    <w:rsid w:val="007F6C26"/>
    <w:rsid w:val="00813208"/>
    <w:rsid w:val="008334AE"/>
    <w:rsid w:val="00836FED"/>
    <w:rsid w:val="0083724E"/>
    <w:rsid w:val="00845CD2"/>
    <w:rsid w:val="00852B0D"/>
    <w:rsid w:val="00881692"/>
    <w:rsid w:val="00883D1A"/>
    <w:rsid w:val="008A25C2"/>
    <w:rsid w:val="008A6576"/>
    <w:rsid w:val="008B3CC5"/>
    <w:rsid w:val="008B52CD"/>
    <w:rsid w:val="008E4261"/>
    <w:rsid w:val="008F4662"/>
    <w:rsid w:val="00905D08"/>
    <w:rsid w:val="00922AEB"/>
    <w:rsid w:val="00925753"/>
    <w:rsid w:val="009425F4"/>
    <w:rsid w:val="00966C5C"/>
    <w:rsid w:val="00973104"/>
    <w:rsid w:val="00995BF0"/>
    <w:rsid w:val="009A16D5"/>
    <w:rsid w:val="009A353D"/>
    <w:rsid w:val="009B0B77"/>
    <w:rsid w:val="009B511E"/>
    <w:rsid w:val="00A44E3D"/>
    <w:rsid w:val="00A72D2E"/>
    <w:rsid w:val="00A74447"/>
    <w:rsid w:val="00A74CE5"/>
    <w:rsid w:val="00A911E7"/>
    <w:rsid w:val="00A939D9"/>
    <w:rsid w:val="00B07D9E"/>
    <w:rsid w:val="00B20712"/>
    <w:rsid w:val="00B43238"/>
    <w:rsid w:val="00B45DD3"/>
    <w:rsid w:val="00B52632"/>
    <w:rsid w:val="00B727A9"/>
    <w:rsid w:val="00B75216"/>
    <w:rsid w:val="00B91D52"/>
    <w:rsid w:val="00B9490F"/>
    <w:rsid w:val="00BA1ACD"/>
    <w:rsid w:val="00BD09F8"/>
    <w:rsid w:val="00CA7176"/>
    <w:rsid w:val="00CB3D48"/>
    <w:rsid w:val="00CB4665"/>
    <w:rsid w:val="00CC75B0"/>
    <w:rsid w:val="00CD2773"/>
    <w:rsid w:val="00CE143B"/>
    <w:rsid w:val="00D0024A"/>
    <w:rsid w:val="00D27003"/>
    <w:rsid w:val="00DB4A9B"/>
    <w:rsid w:val="00E167C7"/>
    <w:rsid w:val="00E2482E"/>
    <w:rsid w:val="00E73D47"/>
    <w:rsid w:val="00EC47F6"/>
    <w:rsid w:val="00EE156D"/>
    <w:rsid w:val="00EE65B8"/>
    <w:rsid w:val="00F149E2"/>
    <w:rsid w:val="00F66032"/>
    <w:rsid w:val="00F87C1E"/>
    <w:rsid w:val="00F958C2"/>
    <w:rsid w:val="021B0C16"/>
    <w:rsid w:val="032A62BF"/>
    <w:rsid w:val="035F286D"/>
    <w:rsid w:val="0F4C4DEC"/>
    <w:rsid w:val="150C52A5"/>
    <w:rsid w:val="25F65092"/>
    <w:rsid w:val="35CF108E"/>
    <w:rsid w:val="36801CC7"/>
    <w:rsid w:val="37F42A5F"/>
    <w:rsid w:val="436708A4"/>
    <w:rsid w:val="61156CCB"/>
    <w:rsid w:val="618F7FF9"/>
    <w:rsid w:val="6E23284E"/>
    <w:rsid w:val="75BF29E0"/>
    <w:rsid w:val="7FD650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unhideWhenUsed/>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6"/>
    <w:unhideWhenUsed/>
    <w:qFormat/>
    <w:uiPriority w:val="99"/>
    <w:rPr>
      <w:sz w:val="18"/>
      <w:szCs w:val="18"/>
    </w:rPr>
  </w:style>
  <w:style w:type="paragraph" w:styleId="3">
    <w:name w:val="footer"/>
    <w:basedOn w:val="1"/>
    <w:link w:val="15"/>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4">
    <w:name w:val="header"/>
    <w:basedOn w:val="1"/>
    <w:link w:val="14"/>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5">
    <w:name w:val="toc 1"/>
    <w:basedOn w:val="1"/>
    <w:next w:val="1"/>
    <w:qFormat/>
    <w:uiPriority w:val="39"/>
    <w:rPr>
      <w:rFonts w:ascii="Times New Roman" w:hAnsi="Times New Roman" w:eastAsia="宋体" w:cs="Times New Roman"/>
      <w:szCs w:val="24"/>
    </w:rPr>
  </w:style>
  <w:style w:type="paragraph" w:styleId="6">
    <w:name w:val="footnote text"/>
    <w:basedOn w:val="1"/>
    <w:link w:val="18"/>
    <w:unhideWhenUsed/>
    <w:qFormat/>
    <w:uiPriority w:val="99"/>
    <w:pPr>
      <w:snapToGrid w:val="0"/>
      <w:jc w:val="left"/>
    </w:pPr>
    <w:rPr>
      <w:rFonts w:ascii="Calibri" w:hAnsi="Calibri" w:eastAsia="宋体" w:cs="Times New Roman"/>
      <w:sz w:val="18"/>
      <w:szCs w:val="18"/>
    </w:rPr>
  </w:style>
  <w:style w:type="paragraph" w:styleId="7">
    <w:name w:val="toc 2"/>
    <w:basedOn w:val="1"/>
    <w:next w:val="1"/>
    <w:qFormat/>
    <w:uiPriority w:val="39"/>
    <w:pPr>
      <w:ind w:left="420" w:leftChars="200"/>
    </w:pPr>
    <w:rPr>
      <w:rFonts w:ascii="Times New Roman" w:hAnsi="Times New Roman" w:eastAsia="宋体" w:cs="Times New Roman"/>
      <w:szCs w:val="24"/>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10">
    <w:name w:val="page number"/>
    <w:unhideWhenUsed/>
    <w:uiPriority w:val="99"/>
  </w:style>
  <w:style w:type="character" w:styleId="11">
    <w:name w:val="Hyperlink"/>
    <w:unhideWhenUsed/>
    <w:qFormat/>
    <w:uiPriority w:val="99"/>
    <w:rPr>
      <w:color w:val="0000FF"/>
      <w:u w:val="single"/>
    </w:rPr>
  </w:style>
  <w:style w:type="character" w:styleId="12">
    <w:name w:val="footnote reference"/>
    <w:unhideWhenUsed/>
    <w:qFormat/>
    <w:uiPriority w:val="99"/>
    <w:rPr>
      <w:vertAlign w:val="superscript"/>
    </w:rPr>
  </w:style>
  <w:style w:type="character" w:customStyle="1" w:styleId="14">
    <w:name w:val="页眉 Char"/>
    <w:basedOn w:val="9"/>
    <w:link w:val="4"/>
    <w:qFormat/>
    <w:uiPriority w:val="99"/>
    <w:rPr>
      <w:rFonts w:ascii="Times New Roman" w:hAnsi="Times New Roman" w:eastAsia="宋体" w:cs="Times New Roman"/>
      <w:sz w:val="18"/>
      <w:szCs w:val="18"/>
    </w:rPr>
  </w:style>
  <w:style w:type="character" w:customStyle="1" w:styleId="15">
    <w:name w:val="页脚 Char"/>
    <w:basedOn w:val="9"/>
    <w:link w:val="3"/>
    <w:qFormat/>
    <w:uiPriority w:val="99"/>
    <w:rPr>
      <w:rFonts w:ascii="Times New Roman" w:hAnsi="Times New Roman" w:eastAsia="宋体" w:cs="Times New Roman"/>
      <w:sz w:val="18"/>
      <w:szCs w:val="18"/>
    </w:rPr>
  </w:style>
  <w:style w:type="character" w:customStyle="1" w:styleId="16">
    <w:name w:val="批注框文本 Char"/>
    <w:basedOn w:val="9"/>
    <w:link w:val="2"/>
    <w:semiHidden/>
    <w:qFormat/>
    <w:uiPriority w:val="99"/>
    <w:rPr>
      <w:sz w:val="18"/>
      <w:szCs w:val="18"/>
    </w:rPr>
  </w:style>
  <w:style w:type="paragraph" w:customStyle="1" w:styleId="17">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character" w:customStyle="1" w:styleId="18">
    <w:name w:val="脚注文本 Char"/>
    <w:basedOn w:val="9"/>
    <w:link w:val="6"/>
    <w:semiHidden/>
    <w:qFormat/>
    <w:uiPriority w:val="99"/>
    <w:rPr>
      <w:rFonts w:ascii="Calibri" w:hAnsi="Calibri" w:eastAsia="宋体" w:cs="Times New Roman"/>
      <w:sz w:val="18"/>
      <w:szCs w:val="18"/>
    </w:rPr>
  </w:style>
  <w:style w:type="paragraph" w:customStyle="1" w:styleId="19">
    <w:name w:val="[Normal]"/>
    <w:uiPriority w:val="0"/>
    <w:rPr>
      <w:rFonts w:ascii="宋体" w:hAnsi="Times New Roman" w:eastAsiaTheme="minorEastAsia" w:cstheme="minorBidi"/>
      <w:sz w:val="24"/>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425098-CEB7-4813-B90D-AE258FE74940}">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44</Pages>
  <Words>3066</Words>
  <Characters>17480</Characters>
  <Lines>145</Lines>
  <Paragraphs>41</Paragraphs>
  <ScaleCrop>false</ScaleCrop>
  <LinksUpToDate>false</LinksUpToDate>
  <CharactersWithSpaces>20505</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2019-01-15T00:52:00Z</dcterms:created>
  <dc:creator>guest</dc:creator>
  <cp:lastModifiedBy>Owner</cp:lastModifiedBy>
  <cp:lastPrinted>2017-11-09T01:12:00Z</cp:lastPrinted>
  <dcterms:modified xsi:type="dcterms:W3CDTF">2019-03-08T14:39:56Z</dcterms:modified>
  <dc:title>河北省财政厅2019年部门预算信息公开情况说明</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