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384" w:lineRule="atLeast"/>
        <w:ind w:firstLine="600"/>
        <w:jc w:val="center"/>
        <w:rPr>
          <w:rFonts w:ascii="微软雅黑" w:hAnsi="微软雅黑" w:eastAsia="微软雅黑"/>
          <w:color w:val="3E3E3E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color w:val="3E3E3E"/>
          <w:sz w:val="32"/>
          <w:szCs w:val="32"/>
        </w:rPr>
        <w:t>部门决算公开目录</w:t>
      </w:r>
    </w:p>
    <w:bookmarkEnd w:id="0"/>
    <w:p>
      <w:pPr>
        <w:pStyle w:val="2"/>
        <w:shd w:val="clear" w:color="auto" w:fill="FFFFFF"/>
        <w:spacing w:before="0" w:beforeAutospacing="0" w:after="0" w:afterAutospacing="0" w:line="384" w:lineRule="atLeast"/>
        <w:rPr>
          <w:rFonts w:hint="eastAsia" w:ascii="微软雅黑" w:hAnsi="微软雅黑" w:eastAsia="微软雅黑"/>
          <w:color w:val="3E3E3E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384" w:lineRule="atLeast"/>
        <w:ind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黑体" w:hAnsi="黑体" w:eastAsia="黑体"/>
          <w:color w:val="3E3E3E"/>
          <w:sz w:val="32"/>
          <w:szCs w:val="32"/>
        </w:rPr>
        <w:t>第一部分 部门概况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firstLine="1110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一、部门职责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firstLine="1110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二、部门决算单位构成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黑体" w:hAnsi="黑体" w:eastAsia="黑体"/>
          <w:color w:val="3E3E3E"/>
          <w:sz w:val="32"/>
          <w:szCs w:val="32"/>
        </w:rPr>
        <w:t>第二部分 2017年度部门决算报表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一、收入支出决算总表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二、收入决算表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三、支出决算表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四、财政拨款收入支出决算总表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五、一般公共预算财政拨款支出决算表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六、一般公共预算财政拨款基本支出决算经济分类表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七、政府性基金预算财政拨款收入支出决算表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八、国有资本经营预算财政拨款收入支出决算表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九、“三公”经费等相关信息统计表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十、政府采购情况表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黑体" w:hAnsi="黑体" w:eastAsia="黑体"/>
          <w:color w:val="3E3E3E"/>
          <w:sz w:val="32"/>
          <w:szCs w:val="32"/>
        </w:rPr>
        <w:t>第三部分 2017年度部门决算情况说明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一、收入支出决算总体情况说明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二、收入决算情况说明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三、支出决算情况说明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四、财政拨款收入支出决算总体情况说明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五、“三公”经费支出决算情况说明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六、预算绩效管理工作开展情况说明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七、其他重要事项的说明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1302" w:firstLineChars="407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1、决算收支增减变化说明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1302" w:firstLineChars="407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2、机关运行经费情况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1302" w:firstLineChars="407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3、政府采购情况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1302" w:firstLineChars="407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4、国有资产占用情况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1302" w:firstLineChars="407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5、其他需要说明的情况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firstLine="645"/>
        <w:rPr>
          <w:rFonts w:hint="eastAsia" w:ascii="微软雅黑" w:hAnsi="微软雅黑" w:eastAsia="微软雅黑"/>
          <w:color w:val="3E3E3E"/>
          <w:sz w:val="32"/>
          <w:szCs w:val="32"/>
        </w:rPr>
      </w:pPr>
      <w:r>
        <w:rPr>
          <w:rFonts w:hint="eastAsia" w:ascii="黑体" w:hAnsi="黑体" w:eastAsia="黑体"/>
          <w:color w:val="3E3E3E"/>
          <w:sz w:val="32"/>
          <w:szCs w:val="32"/>
        </w:rPr>
        <w:t>第四部分 名词解释</w:t>
      </w:r>
    </w:p>
    <w:p>
      <w:pPr>
        <w:pStyle w:val="2"/>
        <w:shd w:val="clear" w:color="auto" w:fill="FFFFFF"/>
        <w:spacing w:before="0" w:beforeAutospacing="0" w:after="0" w:afterAutospacing="0" w:line="384" w:lineRule="atLeast"/>
        <w:ind w:left="645" w:firstLine="645"/>
        <w:rPr>
          <w:rFonts w:hint="eastAsia" w:ascii="仿宋_GB2312" w:hAnsi="微软雅黑" w:eastAsia="仿宋_GB2312"/>
          <w:color w:val="3E3E3E"/>
          <w:sz w:val="32"/>
          <w:szCs w:val="32"/>
        </w:rPr>
      </w:pPr>
      <w:r>
        <w:rPr>
          <w:rFonts w:hint="eastAsia" w:ascii="仿宋_GB2312" w:hAnsi="微软雅黑" w:eastAsia="仿宋_GB2312"/>
          <w:color w:val="3E3E3E"/>
          <w:sz w:val="32"/>
          <w:szCs w:val="32"/>
        </w:rPr>
        <w:t>对专业性较强的名词进行解释（比如：一般公共预算财政拨款收入、事业收入、基本支出、项目支出等）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4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226</dc:creator>
  <cp:lastModifiedBy>226</cp:lastModifiedBy>
  <dcterms:modified xsi:type="dcterms:W3CDTF">2019-03-17T10:11:24Z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