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880" w:firstLineChars="200"/>
        <w:jc w:val="center"/>
        <w:rPr>
          <w:rFonts w:ascii="Times New Roman" w:hAnsi="Times New Roman" w:eastAsia="方正小标宋_GBK" w:cs="Times New Roman"/>
          <w:sz w:val="44"/>
          <w:szCs w:val="44"/>
        </w:rPr>
      </w:pPr>
      <w:r>
        <w:rPr>
          <w:rFonts w:hint="eastAsia" w:ascii="Times New Roman" w:hAnsi="Times New Roman" w:eastAsia="方正小标宋_GBK" w:cs="Times New Roman"/>
          <w:sz w:val="44"/>
          <w:szCs w:val="44"/>
          <w:lang w:eastAsia="zh-CN"/>
        </w:rPr>
        <w:t>石家庄市鹿泉区广播电视台</w:t>
      </w:r>
      <w:r>
        <w:rPr>
          <w:rFonts w:ascii="Times New Roman" w:hAnsi="Times New Roman" w:eastAsia="方正小标宋_GBK" w:cs="Times New Roman"/>
          <w:sz w:val="44"/>
          <w:szCs w:val="44"/>
        </w:rPr>
        <w:t>201</w:t>
      </w:r>
      <w:r>
        <w:rPr>
          <w:rFonts w:hint="eastAsia" w:ascii="Times New Roman" w:hAnsi="Times New Roman" w:eastAsia="方正小标宋_GBK" w:cs="Times New Roman"/>
          <w:sz w:val="44"/>
          <w:szCs w:val="44"/>
        </w:rPr>
        <w:t>9</w:t>
      </w:r>
      <w:r>
        <w:rPr>
          <w:rFonts w:ascii="Times New Roman" w:hAnsi="Times New Roman" w:eastAsia="方正小标宋_GBK" w:cs="Times New Roman"/>
          <w:sz w:val="44"/>
          <w:szCs w:val="44"/>
        </w:rPr>
        <w:t>年部门预算信息公开</w:t>
      </w:r>
      <w:r>
        <w:rPr>
          <w:rFonts w:hint="eastAsia" w:ascii="Times New Roman" w:hAnsi="Times New Roman" w:eastAsia="方正小标宋_GBK" w:cs="Times New Roman"/>
          <w:sz w:val="44"/>
          <w:szCs w:val="44"/>
        </w:rPr>
        <w:t>情况说明</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按照《预算法》、《地方预决算公开操作规程》规定，现将</w:t>
      </w:r>
      <w:r>
        <w:rPr>
          <w:rFonts w:hint="eastAsia" w:ascii="仿宋" w:hAnsi="仿宋" w:eastAsia="仿宋" w:cs="仿宋"/>
          <w:sz w:val="32"/>
          <w:szCs w:val="32"/>
          <w:lang w:eastAsia="zh-CN"/>
        </w:rPr>
        <w:t>石家庄市鹿泉区广播电视台</w:t>
      </w:r>
      <w:r>
        <w:rPr>
          <w:rFonts w:hint="eastAsia" w:ascii="仿宋" w:hAnsi="仿宋" w:eastAsia="仿宋" w:cs="仿宋"/>
          <w:sz w:val="32"/>
          <w:szCs w:val="32"/>
        </w:rPr>
        <w:t>2019年部门预算公开如下：</w:t>
      </w:r>
    </w:p>
    <w:p>
      <w:pPr>
        <w:ind w:firstLine="640"/>
        <w:rPr>
          <w:rFonts w:ascii="黑体" w:hAnsi="黑体" w:eastAsia="黑体" w:cs="Times New Roman"/>
          <w:sz w:val="32"/>
          <w:szCs w:val="32"/>
        </w:rPr>
      </w:pPr>
      <w:r>
        <w:rPr>
          <w:rFonts w:hint="eastAsia" w:ascii="黑体" w:hAnsi="黑体" w:eastAsia="黑体" w:cs="Times New Roman"/>
          <w:sz w:val="32"/>
          <w:szCs w:val="32"/>
        </w:rPr>
        <w:t>一、部门职责及机构设置情况</w:t>
      </w:r>
    </w:p>
    <w:p>
      <w:pPr>
        <w:ind w:firstLine="640" w:firstLineChars="200"/>
        <w:rPr>
          <w:rFonts w:ascii="Times New Roman" w:hAnsi="Times New Roman" w:eastAsia="方正仿宋_GBK" w:cs="Times New Roman"/>
          <w:b/>
          <w:sz w:val="32"/>
          <w:szCs w:val="32"/>
        </w:rPr>
      </w:pPr>
      <w:r>
        <w:rPr>
          <w:rFonts w:hint="eastAsia" w:ascii="Times New Roman" w:hAnsi="Times New Roman" w:eastAsia="方正仿宋_GBK" w:cs="Times New Roman"/>
          <w:b/>
          <w:sz w:val="32"/>
          <w:szCs w:val="32"/>
        </w:rPr>
        <w:t>部门</w:t>
      </w:r>
      <w:r>
        <w:rPr>
          <w:rFonts w:ascii="Times New Roman" w:hAnsi="Times New Roman" w:eastAsia="方正仿宋_GBK" w:cs="Times New Roman"/>
          <w:b/>
          <w:sz w:val="32"/>
          <w:szCs w:val="32"/>
        </w:rPr>
        <w:t>职责：</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宣传党的路线、方针、政策和区委、区政府的工作部署，坚持正确舆论导向，发挥主流媒体作用；开展新闻宣传，办好各类广播电视节目；配合上级台完成我区的采访报道工作并提供各类节目；承担区委、区政府形象宣传片及专题片的创作生产。负责相关设备的正常运行和维护。</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做好各类广播电视节目的采编、制作、播出，组织开展节目创优。建立广播电视安全播出保障体系，加强安全播出管理。负责广播电视网络设施的建设、管理、维护及广播电视新技术应用工作。组织实施重大公益工程和公益活动。</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（三）负责系统综合业务管理和机关综合事务管理。拟定广播电视产业发展规划；广播电视节目内容和质量监督管理；负责市场经营活动的监督管理工作。</w:t>
      </w:r>
    </w:p>
    <w:p>
      <w:pPr>
        <w:autoSpaceDE w:val="0"/>
        <w:autoSpaceDN w:val="0"/>
        <w:adjustRightInd w:val="0"/>
        <w:jc w:val="left"/>
        <w:rPr>
          <w:rFonts w:ascii="方正仿宋_GBK" w:hAnsi="Times New Roman" w:eastAsia="方正仿宋_GBK" w:cs="Times New Roman"/>
          <w:b/>
          <w:sz w:val="32"/>
          <w:szCs w:val="32"/>
        </w:rPr>
      </w:pPr>
    </w:p>
    <w:p>
      <w:pPr>
        <w:numPr>
          <w:numId w:val="0"/>
        </w:numPr>
        <w:ind w:firstLine="640" w:firstLineChars="200"/>
        <w:rPr>
          <w:rFonts w:hint="eastAsia" w:ascii="仿宋_GB2312" w:hAnsi="宋体" w:eastAsia="仿宋_GB2312"/>
          <w:b/>
          <w:kern w:val="0"/>
          <w:sz w:val="32"/>
          <w:szCs w:val="32"/>
        </w:rPr>
      </w:pPr>
      <w:r>
        <w:rPr>
          <w:rFonts w:hint="eastAsia" w:ascii="方正仿宋_GBK" w:hAnsi="Times New Roman" w:eastAsia="方正仿宋_GBK" w:cs="Times New Roman"/>
          <w:b/>
          <w:sz w:val="32"/>
          <w:szCs w:val="32"/>
        </w:rPr>
        <w:t>机构设置</w:t>
      </w:r>
      <w:r>
        <w:rPr>
          <w:rFonts w:hint="eastAsia" w:ascii="仿宋_GB2312" w:hAnsi="宋体" w:eastAsia="仿宋_GB2312"/>
          <w:b/>
          <w:kern w:val="0"/>
          <w:sz w:val="32"/>
          <w:szCs w:val="32"/>
        </w:rPr>
        <w:t xml:space="preserve"> </w:t>
      </w:r>
    </w:p>
    <w:p>
      <w:pPr>
        <w:ind w:firstLine="640" w:firstLineChars="200"/>
        <w:rPr>
          <w:rFonts w:hint="eastAsia" w:ascii="仿宋_GB2312" w:hAnsi="宋体" w:eastAsia="仿宋_GB2312"/>
          <w:b/>
          <w:kern w:val="0"/>
          <w:sz w:val="32"/>
          <w:szCs w:val="32"/>
        </w:rPr>
      </w:pPr>
      <w:r>
        <w:rPr>
          <w:rFonts w:hint="eastAsia" w:ascii="仿宋_GB2312" w:eastAsia="仿宋_GB2312"/>
          <w:sz w:val="32"/>
          <w:szCs w:val="32"/>
        </w:rPr>
        <w:t>根据上述职责，</w:t>
      </w:r>
      <w:r>
        <w:rPr>
          <w:rFonts w:hint="eastAsia" w:ascii="仿宋_GB2312" w:eastAsia="仿宋_GB2312"/>
          <w:sz w:val="32"/>
          <w:szCs w:val="32"/>
          <w:lang w:eastAsia="zh-CN"/>
        </w:rPr>
        <w:t>广电台内</w:t>
      </w:r>
      <w:r>
        <w:rPr>
          <w:rFonts w:hint="eastAsia" w:ascii="仿宋_GB2312" w:eastAsia="仿宋_GB2312"/>
          <w:sz w:val="32"/>
          <w:szCs w:val="32"/>
        </w:rPr>
        <w:t>设办公室、</w:t>
      </w:r>
      <w:r>
        <w:rPr>
          <w:rFonts w:hint="eastAsia" w:ascii="仿宋_GB2312" w:eastAsia="仿宋_GB2312"/>
          <w:sz w:val="32"/>
          <w:szCs w:val="32"/>
          <w:lang w:eastAsia="zh-CN"/>
        </w:rPr>
        <w:t>人事财务科、电视节目制作中心</w:t>
      </w:r>
      <w:r>
        <w:rPr>
          <w:rFonts w:hint="eastAsia" w:ascii="仿宋_GB2312" w:eastAsia="仿宋_GB2312"/>
          <w:sz w:val="32"/>
          <w:szCs w:val="32"/>
        </w:rPr>
        <w:t>、</w:t>
      </w:r>
      <w:r>
        <w:rPr>
          <w:rFonts w:hint="eastAsia" w:ascii="仿宋_GB2312" w:eastAsia="仿宋_GB2312"/>
          <w:sz w:val="32"/>
          <w:szCs w:val="32"/>
          <w:lang w:eastAsia="zh-CN"/>
        </w:rPr>
        <w:t>广播节目制作中心、技术中心五个</w:t>
      </w:r>
      <w:r>
        <w:rPr>
          <w:rFonts w:hint="eastAsia" w:ascii="仿宋_GB2312" w:eastAsia="仿宋_GB2312"/>
          <w:sz w:val="32"/>
          <w:szCs w:val="32"/>
        </w:rPr>
        <w:t>个内设机构。</w:t>
      </w:r>
    </w:p>
    <w:tbl>
      <w:tblPr>
        <w:tblStyle w:val="12"/>
        <w:tblW w:w="14262"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827"/>
        <w:gridCol w:w="1134"/>
        <w:gridCol w:w="1276"/>
        <w:gridCol w:w="2353"/>
        <w:gridCol w:w="709"/>
        <w:gridCol w:w="709"/>
        <w:gridCol w:w="709"/>
        <w:gridCol w:w="709"/>
        <w:gridCol w:w="709"/>
        <w:gridCol w:w="709"/>
        <w:gridCol w:w="709"/>
        <w:gridCol w:w="70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10008" w:type="dxa"/>
            <w:gridSpan w:val="6"/>
            <w:tcBorders>
              <w:top w:val="single" w:color="FFFFFF" w:sz="6" w:space="0"/>
              <w:left w:val="single" w:color="FFFFFF" w:sz="6" w:space="0"/>
              <w:right w:val="single" w:color="FFFFFF" w:sz="6" w:space="0"/>
            </w:tcBorders>
            <w:shd w:val="clear" w:color="auto" w:fill="auto"/>
            <w:vAlign w:val="center"/>
          </w:tcPr>
          <w:p>
            <w:pPr>
              <w:spacing w:line="300" w:lineRule="exact"/>
              <w:jc w:val="left"/>
              <w:rPr>
                <w:rFonts w:ascii="方正小标宋_GBK" w:eastAsia="方正小标宋_GBK"/>
                <w:sz w:val="24"/>
              </w:rPr>
            </w:pPr>
            <w:r>
              <w:rPr>
                <w:rFonts w:ascii="方正小标宋_GBK" w:eastAsia="方正小标宋_GBK"/>
                <w:sz w:val="24"/>
              </w:rPr>
              <w:t>359</w:t>
            </w:r>
            <w:r>
              <w:rPr>
                <w:rFonts w:hint="eastAsia" w:ascii="方正小标宋_GBK" w:eastAsia="方正小标宋_GBK"/>
                <w:sz w:val="24"/>
              </w:rPr>
              <w:t>石家庄市鹿泉区广播电视台</w:t>
            </w:r>
          </w:p>
        </w:tc>
        <w:tc>
          <w:tcPr>
            <w:tcW w:w="4254" w:type="dxa"/>
            <w:gridSpan w:val="6"/>
            <w:tcBorders>
              <w:top w:val="single" w:color="FFFFFF" w:sz="6" w:space="0"/>
              <w:left w:val="single" w:color="FFFFFF" w:sz="6" w:space="0"/>
              <w:right w:val="single" w:color="FFFFFF" w:sz="6" w:space="0"/>
            </w:tcBorders>
            <w:shd w:val="clear" w:color="auto" w:fill="auto"/>
            <w:vAlign w:val="center"/>
          </w:tcPr>
          <w:p>
            <w:pPr>
              <w:spacing w:line="300" w:lineRule="exact"/>
              <w:jc w:val="right"/>
              <w:rPr>
                <w:rFonts w:ascii="方正小标宋_GBK" w:eastAsia="方正小标宋_GBK"/>
                <w:sz w:val="24"/>
              </w:rPr>
            </w:pPr>
            <w:r>
              <w:rPr>
                <w:rFonts w:hint="eastAsia" w:ascii="方正小标宋_GBK" w:eastAsia="方正小标宋_GBK"/>
                <w:sz w:val="24"/>
              </w:rPr>
              <w:t>单位：人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3827"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单位名称</w:t>
            </w:r>
          </w:p>
        </w:tc>
        <w:tc>
          <w:tcPr>
            <w:tcW w:w="1134"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单位性质</w:t>
            </w:r>
          </w:p>
        </w:tc>
        <w:tc>
          <w:tcPr>
            <w:tcW w:w="1276"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单位规格</w:t>
            </w:r>
          </w:p>
        </w:tc>
        <w:tc>
          <w:tcPr>
            <w:tcW w:w="2353"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经费保障形式</w:t>
            </w:r>
          </w:p>
        </w:tc>
        <w:tc>
          <w:tcPr>
            <w:tcW w:w="709"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车辆编制数</w:t>
            </w:r>
          </w:p>
        </w:tc>
        <w:tc>
          <w:tcPr>
            <w:tcW w:w="1418" w:type="dxa"/>
            <w:gridSpan w:val="2"/>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编制人数</w:t>
            </w:r>
          </w:p>
        </w:tc>
        <w:tc>
          <w:tcPr>
            <w:tcW w:w="1418" w:type="dxa"/>
            <w:gridSpan w:val="2"/>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在职人数</w:t>
            </w:r>
          </w:p>
        </w:tc>
        <w:tc>
          <w:tcPr>
            <w:tcW w:w="2127" w:type="dxa"/>
            <w:gridSpan w:val="3"/>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离退人数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3827" w:type="dxa"/>
            <w:vMerge w:val="continue"/>
            <w:shd w:val="clear" w:color="auto" w:fill="auto"/>
            <w:vAlign w:val="center"/>
          </w:tcPr>
          <w:p>
            <w:pPr>
              <w:spacing w:line="300" w:lineRule="exact"/>
              <w:jc w:val="left"/>
              <w:outlineLvl w:val="0"/>
            </w:pPr>
          </w:p>
        </w:tc>
        <w:tc>
          <w:tcPr>
            <w:tcW w:w="1134" w:type="dxa"/>
            <w:vMerge w:val="continue"/>
            <w:shd w:val="clear" w:color="auto" w:fill="auto"/>
            <w:vAlign w:val="center"/>
          </w:tcPr>
          <w:p>
            <w:pPr>
              <w:spacing w:line="300" w:lineRule="exact"/>
              <w:jc w:val="left"/>
              <w:outlineLvl w:val="0"/>
            </w:pPr>
          </w:p>
        </w:tc>
        <w:tc>
          <w:tcPr>
            <w:tcW w:w="1276" w:type="dxa"/>
            <w:vMerge w:val="continue"/>
            <w:shd w:val="clear" w:color="auto" w:fill="auto"/>
            <w:vAlign w:val="center"/>
          </w:tcPr>
          <w:p>
            <w:pPr>
              <w:spacing w:line="300" w:lineRule="exact"/>
              <w:jc w:val="left"/>
              <w:outlineLvl w:val="0"/>
            </w:pPr>
          </w:p>
        </w:tc>
        <w:tc>
          <w:tcPr>
            <w:tcW w:w="2353" w:type="dxa"/>
            <w:vMerge w:val="continue"/>
            <w:shd w:val="clear" w:color="auto" w:fill="auto"/>
            <w:vAlign w:val="center"/>
          </w:tcPr>
          <w:p>
            <w:pPr>
              <w:spacing w:line="300" w:lineRule="exact"/>
              <w:jc w:val="left"/>
              <w:outlineLvl w:val="0"/>
            </w:pPr>
          </w:p>
        </w:tc>
        <w:tc>
          <w:tcPr>
            <w:tcW w:w="709" w:type="dxa"/>
            <w:vMerge w:val="continue"/>
            <w:shd w:val="clear" w:color="auto" w:fill="auto"/>
            <w:vAlign w:val="center"/>
          </w:tcPr>
          <w:p>
            <w:pPr>
              <w:spacing w:line="300" w:lineRule="exact"/>
              <w:jc w:val="left"/>
              <w:outlineLvl w:val="0"/>
            </w:pPr>
          </w:p>
        </w:tc>
        <w:tc>
          <w:tcPr>
            <w:tcW w:w="709"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行政</w:t>
            </w:r>
          </w:p>
        </w:tc>
        <w:tc>
          <w:tcPr>
            <w:tcW w:w="709"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事业</w:t>
            </w:r>
          </w:p>
        </w:tc>
        <w:tc>
          <w:tcPr>
            <w:tcW w:w="709"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行政</w:t>
            </w:r>
          </w:p>
        </w:tc>
        <w:tc>
          <w:tcPr>
            <w:tcW w:w="709"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事业</w:t>
            </w:r>
          </w:p>
        </w:tc>
        <w:tc>
          <w:tcPr>
            <w:tcW w:w="709"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离休</w:t>
            </w:r>
          </w:p>
        </w:tc>
        <w:tc>
          <w:tcPr>
            <w:tcW w:w="709"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退休</w:t>
            </w:r>
          </w:p>
        </w:tc>
        <w:tc>
          <w:tcPr>
            <w:tcW w:w="709"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退职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382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合</w:t>
            </w:r>
            <w:r>
              <w:rPr>
                <w:rFonts w:ascii="方正书宋_GBK" w:eastAsia="方正书宋_GBK"/>
                <w:b/>
              </w:rPr>
              <w:t xml:space="preserve">    </w:t>
            </w:r>
            <w:r>
              <w:rPr>
                <w:rFonts w:hint="eastAsia" w:ascii="方正书宋_GBK" w:eastAsia="方正书宋_GBK"/>
                <w:b/>
              </w:rPr>
              <w:t>计</w:t>
            </w:r>
          </w:p>
        </w:tc>
        <w:tc>
          <w:tcPr>
            <w:tcW w:w="1134" w:type="dxa"/>
            <w:shd w:val="clear" w:color="auto" w:fill="auto"/>
            <w:vAlign w:val="center"/>
          </w:tcPr>
          <w:p>
            <w:pPr>
              <w:spacing w:line="300" w:lineRule="exact"/>
              <w:jc w:val="center"/>
              <w:rPr>
                <w:rFonts w:ascii="方正书宋_GBK" w:eastAsia="方正书宋_GBK"/>
                <w:b/>
              </w:rPr>
            </w:pPr>
          </w:p>
        </w:tc>
        <w:tc>
          <w:tcPr>
            <w:tcW w:w="1276" w:type="dxa"/>
            <w:shd w:val="clear" w:color="auto" w:fill="auto"/>
            <w:vAlign w:val="center"/>
          </w:tcPr>
          <w:p>
            <w:pPr>
              <w:spacing w:line="300" w:lineRule="exact"/>
              <w:jc w:val="center"/>
              <w:rPr>
                <w:rFonts w:ascii="方正书宋_GBK" w:eastAsia="方正书宋_GBK"/>
                <w:b/>
              </w:rPr>
            </w:pPr>
          </w:p>
        </w:tc>
        <w:tc>
          <w:tcPr>
            <w:tcW w:w="2353" w:type="dxa"/>
            <w:shd w:val="clear" w:color="auto" w:fill="auto"/>
            <w:vAlign w:val="center"/>
          </w:tcPr>
          <w:p>
            <w:pPr>
              <w:spacing w:line="300" w:lineRule="exact"/>
              <w:jc w:val="center"/>
              <w:rPr>
                <w:rFonts w:ascii="方正书宋_GBK" w:eastAsia="方正书宋_GBK"/>
                <w:b/>
              </w:rPr>
            </w:pPr>
          </w:p>
        </w:tc>
        <w:tc>
          <w:tcPr>
            <w:tcW w:w="709" w:type="dxa"/>
            <w:shd w:val="clear" w:color="auto" w:fill="auto"/>
            <w:vAlign w:val="center"/>
          </w:tcPr>
          <w:p>
            <w:pPr>
              <w:spacing w:line="300" w:lineRule="exact"/>
              <w:jc w:val="center"/>
              <w:rPr>
                <w:rFonts w:hint="eastAsia" w:ascii="方正书宋_GBK" w:eastAsia="方正书宋_GBK"/>
                <w:b/>
                <w:lang w:val="en-US" w:eastAsia="zh-CN"/>
              </w:rPr>
            </w:pPr>
            <w:r>
              <w:rPr>
                <w:rFonts w:hint="eastAsia" w:ascii="方正书宋_GBK" w:eastAsia="方正书宋_GBK"/>
                <w:b/>
                <w:lang w:val="en-US" w:eastAsia="zh-CN"/>
              </w:rPr>
              <w:t>2</w:t>
            </w:r>
          </w:p>
        </w:tc>
        <w:tc>
          <w:tcPr>
            <w:tcW w:w="709" w:type="dxa"/>
            <w:shd w:val="clear" w:color="auto" w:fill="auto"/>
            <w:vAlign w:val="center"/>
          </w:tcPr>
          <w:p>
            <w:pPr>
              <w:spacing w:line="300" w:lineRule="exact"/>
              <w:jc w:val="center"/>
              <w:rPr>
                <w:rFonts w:ascii="方正书宋_GBK" w:eastAsia="方正书宋_GBK"/>
                <w:b/>
              </w:rPr>
            </w:pPr>
          </w:p>
        </w:tc>
        <w:tc>
          <w:tcPr>
            <w:tcW w:w="709" w:type="dxa"/>
            <w:shd w:val="clear" w:color="auto" w:fill="auto"/>
            <w:vAlign w:val="center"/>
          </w:tcPr>
          <w:p>
            <w:pPr>
              <w:spacing w:line="300" w:lineRule="exact"/>
              <w:jc w:val="center"/>
              <w:rPr>
                <w:rFonts w:ascii="方正书宋_GBK" w:eastAsia="方正书宋_GBK"/>
                <w:b/>
              </w:rPr>
            </w:pPr>
            <w:r>
              <w:rPr>
                <w:rFonts w:ascii="方正书宋_GBK" w:eastAsia="方正书宋_GBK"/>
                <w:b/>
              </w:rPr>
              <w:t>4</w:t>
            </w:r>
            <w:r>
              <w:rPr>
                <w:rFonts w:hint="eastAsia" w:ascii="方正书宋_GBK" w:eastAsia="方正书宋_GBK"/>
                <w:b/>
                <w:lang w:val="en-US" w:eastAsia="zh-CN"/>
              </w:rPr>
              <w:t>1</w:t>
            </w:r>
          </w:p>
        </w:tc>
        <w:tc>
          <w:tcPr>
            <w:tcW w:w="709" w:type="dxa"/>
            <w:shd w:val="clear" w:color="auto" w:fill="auto"/>
            <w:vAlign w:val="center"/>
          </w:tcPr>
          <w:p>
            <w:pPr>
              <w:spacing w:line="300" w:lineRule="exact"/>
              <w:jc w:val="center"/>
              <w:rPr>
                <w:rFonts w:ascii="方正书宋_GBK" w:eastAsia="方正书宋_GBK"/>
                <w:b/>
              </w:rPr>
            </w:pPr>
          </w:p>
        </w:tc>
        <w:tc>
          <w:tcPr>
            <w:tcW w:w="709" w:type="dxa"/>
            <w:shd w:val="clear" w:color="auto" w:fill="auto"/>
            <w:vAlign w:val="center"/>
          </w:tcPr>
          <w:p>
            <w:pPr>
              <w:spacing w:line="300" w:lineRule="exact"/>
              <w:jc w:val="center"/>
              <w:rPr>
                <w:rFonts w:hint="eastAsia" w:ascii="方正书宋_GBK" w:eastAsia="方正书宋_GBK"/>
                <w:b/>
                <w:lang w:val="en-US" w:eastAsia="zh-CN"/>
              </w:rPr>
            </w:pPr>
            <w:r>
              <w:rPr>
                <w:rFonts w:hint="eastAsia" w:ascii="方正书宋_GBK" w:eastAsia="方正书宋_GBK"/>
                <w:b/>
                <w:lang w:val="en-US" w:eastAsia="zh-CN"/>
              </w:rPr>
              <w:t>37</w:t>
            </w:r>
          </w:p>
        </w:tc>
        <w:tc>
          <w:tcPr>
            <w:tcW w:w="709" w:type="dxa"/>
            <w:shd w:val="clear" w:color="auto" w:fill="auto"/>
            <w:vAlign w:val="center"/>
          </w:tcPr>
          <w:p>
            <w:pPr>
              <w:spacing w:line="300" w:lineRule="exact"/>
              <w:jc w:val="center"/>
              <w:rPr>
                <w:rFonts w:ascii="方正书宋_GBK" w:eastAsia="方正书宋_GBK"/>
                <w:b/>
              </w:rPr>
            </w:pPr>
          </w:p>
        </w:tc>
        <w:tc>
          <w:tcPr>
            <w:tcW w:w="709" w:type="dxa"/>
            <w:shd w:val="clear" w:color="auto" w:fill="auto"/>
            <w:vAlign w:val="center"/>
          </w:tcPr>
          <w:p>
            <w:pPr>
              <w:spacing w:line="300" w:lineRule="exact"/>
              <w:jc w:val="center"/>
              <w:rPr>
                <w:rFonts w:ascii="方正书宋_GBK" w:eastAsia="方正书宋_GBK"/>
                <w:b/>
              </w:rPr>
            </w:pPr>
          </w:p>
        </w:tc>
        <w:tc>
          <w:tcPr>
            <w:tcW w:w="709" w:type="dxa"/>
            <w:shd w:val="clear" w:color="auto" w:fill="auto"/>
            <w:vAlign w:val="center"/>
          </w:tcPr>
          <w:p>
            <w:pPr>
              <w:spacing w:line="300" w:lineRule="exact"/>
              <w:jc w:val="center"/>
              <w:rPr>
                <w:rFonts w:ascii="方正书宋_GBK" w:eastAsia="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382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石家庄市鹿泉区广播电视台</w:t>
            </w:r>
          </w:p>
        </w:tc>
        <w:tc>
          <w:tcPr>
            <w:tcW w:w="1134"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事业</w:t>
            </w:r>
          </w:p>
        </w:tc>
        <w:tc>
          <w:tcPr>
            <w:tcW w:w="1276"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正科级</w:t>
            </w:r>
          </w:p>
        </w:tc>
        <w:tc>
          <w:tcPr>
            <w:tcW w:w="2353"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财政性资金基本保证</w:t>
            </w:r>
          </w:p>
        </w:tc>
        <w:tc>
          <w:tcPr>
            <w:tcW w:w="709" w:type="dxa"/>
            <w:shd w:val="clear" w:color="auto" w:fill="auto"/>
            <w:vAlign w:val="center"/>
          </w:tcPr>
          <w:p>
            <w:pPr>
              <w:spacing w:line="300" w:lineRule="exact"/>
              <w:jc w:val="center"/>
              <w:rPr>
                <w:rFonts w:hint="eastAsia" w:ascii="方正书宋_GBK" w:eastAsia="方正书宋_GBK"/>
                <w:lang w:val="en-US" w:eastAsia="zh-CN"/>
              </w:rPr>
            </w:pPr>
            <w:r>
              <w:rPr>
                <w:rFonts w:hint="eastAsia" w:ascii="方正书宋_GBK" w:eastAsia="方正书宋_GBK"/>
                <w:lang w:val="en-US" w:eastAsia="zh-CN"/>
              </w:rPr>
              <w:t>2</w:t>
            </w: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r>
              <w:rPr>
                <w:rFonts w:ascii="方正书宋_GBK" w:eastAsia="方正书宋_GBK"/>
              </w:rPr>
              <w:t>4</w:t>
            </w:r>
            <w:r>
              <w:rPr>
                <w:rFonts w:hint="eastAsia" w:ascii="方正书宋_GBK" w:eastAsia="方正书宋_GBK"/>
                <w:lang w:val="en-US" w:eastAsia="zh-CN"/>
              </w:rPr>
              <w:t>1</w:t>
            </w: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hint="eastAsia" w:ascii="方正书宋_GBK" w:eastAsia="方正书宋_GBK"/>
                <w:lang w:val="en-US" w:eastAsia="zh-CN"/>
              </w:rPr>
            </w:pPr>
            <w:r>
              <w:rPr>
                <w:rFonts w:hint="eastAsia" w:ascii="方正书宋_GBK" w:eastAsia="方正书宋_GBK"/>
                <w:lang w:val="en-US" w:eastAsia="zh-CN"/>
              </w:rPr>
              <w:t>37</w:t>
            </w: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p>
        </w:tc>
      </w:tr>
    </w:tbl>
    <w:p>
      <w:pPr>
        <w:spacing w:line="500" w:lineRule="exact"/>
        <w:jc w:val="left"/>
        <w:rPr>
          <w:rFonts w:hint="eastAsia" w:ascii="仿宋" w:hAnsi="仿宋" w:eastAsia="仿宋" w:cs="仿宋"/>
          <w:sz w:val="32"/>
          <w:szCs w:val="32"/>
        </w:rPr>
      </w:pPr>
    </w:p>
    <w:p>
      <w:pPr>
        <w:autoSpaceDE w:val="0"/>
        <w:autoSpaceDN w:val="0"/>
        <w:adjustRightInd w:val="0"/>
        <w:jc w:val="left"/>
        <w:rPr>
          <w:rFonts w:ascii="方正仿宋_GBK" w:hAnsi="Times New Roman" w:eastAsia="方正仿宋_GBK" w:cs="Times New Roman"/>
          <w:b/>
          <w:sz w:val="32"/>
          <w:szCs w:val="32"/>
        </w:rPr>
      </w:pPr>
    </w:p>
    <w:p>
      <w:pPr>
        <w:ind w:firstLine="640"/>
        <w:rPr>
          <w:rFonts w:ascii="黑体" w:hAnsi="黑体" w:eastAsia="黑体" w:cs="Times New Roman"/>
          <w:sz w:val="32"/>
          <w:szCs w:val="32"/>
        </w:rPr>
      </w:pPr>
      <w:r>
        <w:rPr>
          <w:rFonts w:hint="eastAsia" w:ascii="黑体" w:hAnsi="黑体" w:eastAsia="黑体" w:cs="Times New Roman"/>
          <w:sz w:val="32"/>
          <w:szCs w:val="32"/>
        </w:rPr>
        <w:t>二、部门预算安排的总体情况</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按照预算管理有关规定，目前我</w:t>
      </w:r>
      <w:r>
        <w:rPr>
          <w:rFonts w:hint="eastAsia" w:ascii="仿宋" w:hAnsi="仿宋" w:eastAsia="仿宋" w:cs="仿宋"/>
          <w:sz w:val="32"/>
          <w:szCs w:val="32"/>
          <w:lang w:eastAsia="zh-CN"/>
        </w:rPr>
        <w:t>区</w:t>
      </w:r>
      <w:r>
        <w:rPr>
          <w:rFonts w:hint="eastAsia" w:ascii="仿宋" w:hAnsi="仿宋" w:eastAsia="仿宋" w:cs="仿宋"/>
          <w:sz w:val="32"/>
          <w:szCs w:val="32"/>
        </w:rPr>
        <w:t>部门预算的编制实行综合预算管理，即全部收入和支出都反映在预算中。</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1、收入说明</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反映本部门当年全部收入。2019年预算收入</w:t>
      </w:r>
      <w:r>
        <w:rPr>
          <w:rFonts w:hint="eastAsia" w:ascii="仿宋" w:hAnsi="仿宋" w:eastAsia="仿宋" w:cs="仿宋"/>
          <w:sz w:val="32"/>
          <w:szCs w:val="32"/>
          <w:lang w:val="en-US" w:eastAsia="zh-CN"/>
        </w:rPr>
        <w:t>801.54</w:t>
      </w:r>
      <w:r>
        <w:rPr>
          <w:rFonts w:hint="eastAsia" w:ascii="仿宋" w:hAnsi="仿宋" w:eastAsia="仿宋" w:cs="仿宋"/>
          <w:sz w:val="32"/>
          <w:szCs w:val="32"/>
        </w:rPr>
        <w:t>万元，其中：一般公共预算收入</w:t>
      </w:r>
      <w:r>
        <w:rPr>
          <w:rFonts w:hint="eastAsia" w:ascii="仿宋" w:hAnsi="仿宋" w:eastAsia="仿宋" w:cs="仿宋"/>
          <w:sz w:val="32"/>
          <w:szCs w:val="32"/>
          <w:lang w:val="en-US" w:eastAsia="zh-CN"/>
        </w:rPr>
        <w:t>801.54</w:t>
      </w:r>
      <w:r>
        <w:rPr>
          <w:rFonts w:hint="eastAsia" w:ascii="仿宋" w:hAnsi="仿宋" w:eastAsia="仿宋" w:cs="仿宋"/>
          <w:sz w:val="32"/>
          <w:szCs w:val="32"/>
        </w:rPr>
        <w:t>万元，基金预算收入0万元。</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2、支出说明</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收支预算总表支出栏、基本支出表、项目支出表按经济分类和支出功能分类科目编制，反映</w:t>
      </w:r>
      <w:r>
        <w:rPr>
          <w:rFonts w:hint="eastAsia" w:ascii="仿宋" w:hAnsi="仿宋" w:eastAsia="仿宋" w:cs="仿宋"/>
          <w:sz w:val="32"/>
          <w:szCs w:val="32"/>
          <w:lang w:eastAsia="zh-CN"/>
        </w:rPr>
        <w:t>石家庄市鹿泉区广播电视台</w:t>
      </w:r>
      <w:r>
        <w:rPr>
          <w:rFonts w:hint="eastAsia" w:ascii="仿宋" w:hAnsi="仿宋" w:eastAsia="仿宋" w:cs="仿宋"/>
          <w:sz w:val="32"/>
          <w:szCs w:val="32"/>
        </w:rPr>
        <w:t>年度部门预算中支出预算的总体情况。2019年支出预算</w:t>
      </w:r>
      <w:r>
        <w:rPr>
          <w:rFonts w:hint="eastAsia" w:ascii="仿宋" w:hAnsi="仿宋" w:eastAsia="仿宋" w:cs="仿宋"/>
          <w:sz w:val="32"/>
          <w:szCs w:val="32"/>
          <w:lang w:val="en-US" w:eastAsia="zh-CN"/>
        </w:rPr>
        <w:t>801.54</w:t>
      </w:r>
      <w:r>
        <w:rPr>
          <w:rFonts w:hint="eastAsia" w:ascii="仿宋" w:hAnsi="仿宋" w:eastAsia="仿宋" w:cs="仿宋"/>
          <w:sz w:val="32"/>
          <w:szCs w:val="32"/>
        </w:rPr>
        <w:t>万元，其中基本支出</w:t>
      </w:r>
      <w:r>
        <w:rPr>
          <w:rFonts w:hint="eastAsia" w:ascii="仿宋" w:hAnsi="仿宋" w:eastAsia="仿宋" w:cs="仿宋"/>
          <w:sz w:val="32"/>
          <w:szCs w:val="32"/>
          <w:lang w:val="en-US" w:eastAsia="zh-CN"/>
        </w:rPr>
        <w:t>615.14</w:t>
      </w:r>
      <w:r>
        <w:rPr>
          <w:rFonts w:hint="eastAsia" w:ascii="仿宋" w:hAnsi="仿宋" w:eastAsia="仿宋" w:cs="仿宋"/>
          <w:sz w:val="32"/>
          <w:szCs w:val="32"/>
        </w:rPr>
        <w:t>万元，包括人员经费</w:t>
      </w:r>
      <w:r>
        <w:rPr>
          <w:rFonts w:hint="eastAsia" w:ascii="仿宋" w:hAnsi="仿宋" w:eastAsia="仿宋" w:cs="仿宋"/>
          <w:sz w:val="32"/>
          <w:szCs w:val="32"/>
          <w:lang w:val="en-US" w:eastAsia="zh-CN"/>
        </w:rPr>
        <w:t>543.38</w:t>
      </w:r>
      <w:r>
        <w:rPr>
          <w:rFonts w:hint="eastAsia" w:ascii="仿宋" w:hAnsi="仿宋" w:eastAsia="仿宋" w:cs="仿宋"/>
          <w:sz w:val="32"/>
          <w:szCs w:val="32"/>
        </w:rPr>
        <w:t>万元和日常公用经费</w:t>
      </w:r>
      <w:r>
        <w:rPr>
          <w:rFonts w:hint="eastAsia" w:ascii="仿宋" w:hAnsi="仿宋" w:eastAsia="仿宋" w:cs="仿宋"/>
          <w:sz w:val="32"/>
          <w:szCs w:val="32"/>
          <w:lang w:val="en-US" w:eastAsia="zh-CN"/>
        </w:rPr>
        <w:t>71.76</w:t>
      </w:r>
      <w:r>
        <w:rPr>
          <w:rFonts w:hint="eastAsia" w:ascii="仿宋" w:hAnsi="仿宋" w:eastAsia="仿宋" w:cs="仿宋"/>
          <w:sz w:val="32"/>
          <w:szCs w:val="32"/>
        </w:rPr>
        <w:t>万元；项目支出</w:t>
      </w:r>
      <w:r>
        <w:rPr>
          <w:rFonts w:hint="eastAsia" w:ascii="仿宋" w:hAnsi="仿宋" w:eastAsia="仿宋" w:cs="仿宋"/>
          <w:sz w:val="32"/>
          <w:szCs w:val="32"/>
          <w:lang w:val="en-US" w:eastAsia="zh-CN"/>
        </w:rPr>
        <w:t>186.40</w:t>
      </w:r>
      <w:r>
        <w:rPr>
          <w:rFonts w:hint="eastAsia" w:ascii="仿宋" w:hAnsi="仿宋" w:eastAsia="仿宋" w:cs="仿宋"/>
          <w:sz w:val="32"/>
          <w:szCs w:val="32"/>
        </w:rPr>
        <w:t>万元，包括本级支出，主要为</w:t>
      </w:r>
      <w:r>
        <w:rPr>
          <w:rFonts w:hint="eastAsia" w:ascii="仿宋" w:hAnsi="仿宋" w:eastAsia="仿宋" w:cs="仿宋"/>
          <w:sz w:val="32"/>
          <w:szCs w:val="32"/>
          <w:lang w:eastAsia="zh-CN"/>
        </w:rPr>
        <w:t>退役士兵安置、广播电视运行、出版发行</w:t>
      </w:r>
      <w:r>
        <w:rPr>
          <w:rFonts w:hint="eastAsia" w:ascii="仿宋" w:hAnsi="仿宋" w:eastAsia="仿宋" w:cs="仿宋"/>
          <w:sz w:val="32"/>
          <w:szCs w:val="32"/>
        </w:rPr>
        <w:t>等。</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3、比上年增减情况</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2019年预算收支安排</w:t>
      </w:r>
      <w:r>
        <w:rPr>
          <w:rFonts w:hint="eastAsia" w:ascii="仿宋" w:hAnsi="仿宋" w:eastAsia="仿宋" w:cs="仿宋"/>
          <w:sz w:val="32"/>
          <w:szCs w:val="32"/>
          <w:lang w:val="en-US" w:eastAsia="zh-CN"/>
        </w:rPr>
        <w:t>801.54</w:t>
      </w:r>
      <w:r>
        <w:rPr>
          <w:rFonts w:hint="eastAsia" w:ascii="仿宋" w:hAnsi="仿宋" w:eastAsia="仿宋" w:cs="仿宋"/>
          <w:sz w:val="32"/>
          <w:szCs w:val="32"/>
        </w:rPr>
        <w:t>万元，较2018年预算</w:t>
      </w:r>
      <w:r>
        <w:rPr>
          <w:rFonts w:hint="eastAsia" w:ascii="仿宋" w:hAnsi="仿宋" w:eastAsia="仿宋" w:cs="仿宋"/>
          <w:sz w:val="32"/>
          <w:szCs w:val="32"/>
          <w:lang w:eastAsia="zh-CN"/>
        </w:rPr>
        <w:t>增加</w:t>
      </w:r>
      <w:r>
        <w:rPr>
          <w:rFonts w:hint="eastAsia" w:ascii="仿宋" w:hAnsi="仿宋" w:eastAsia="仿宋" w:cs="仿宋"/>
          <w:sz w:val="32"/>
          <w:szCs w:val="32"/>
          <w:lang w:val="en-US" w:eastAsia="zh-CN"/>
        </w:rPr>
        <w:t>93.11</w:t>
      </w:r>
      <w:r>
        <w:rPr>
          <w:rFonts w:hint="eastAsia" w:ascii="仿宋" w:hAnsi="仿宋" w:eastAsia="仿宋" w:cs="仿宋"/>
          <w:sz w:val="32"/>
          <w:szCs w:val="32"/>
        </w:rPr>
        <w:t>万元，其中：基本支出</w:t>
      </w:r>
      <w:r>
        <w:rPr>
          <w:rFonts w:hint="eastAsia" w:ascii="仿宋" w:hAnsi="仿宋" w:eastAsia="仿宋" w:cs="仿宋"/>
          <w:sz w:val="32"/>
          <w:szCs w:val="32"/>
          <w:lang w:eastAsia="zh-CN"/>
        </w:rPr>
        <w:t>增加</w:t>
      </w:r>
      <w:r>
        <w:rPr>
          <w:rFonts w:hint="eastAsia" w:ascii="仿宋" w:hAnsi="仿宋" w:eastAsia="仿宋" w:cs="仿宋"/>
          <w:sz w:val="32"/>
          <w:szCs w:val="32"/>
          <w:lang w:val="en-US" w:eastAsia="zh-CN"/>
        </w:rPr>
        <w:t>41.71</w:t>
      </w:r>
      <w:r>
        <w:rPr>
          <w:rFonts w:hint="eastAsia" w:ascii="仿宋" w:hAnsi="仿宋" w:eastAsia="仿宋" w:cs="仿宋"/>
          <w:sz w:val="32"/>
          <w:szCs w:val="32"/>
        </w:rPr>
        <w:t>万元，主要为</w:t>
      </w:r>
      <w:r>
        <w:rPr>
          <w:rFonts w:hint="eastAsia" w:ascii="仿宋" w:hAnsi="仿宋" w:eastAsia="仿宋" w:cs="仿宋"/>
          <w:sz w:val="32"/>
          <w:szCs w:val="32"/>
          <w:lang w:eastAsia="zh-CN"/>
        </w:rPr>
        <w:t>增加</w:t>
      </w:r>
      <w:r>
        <w:rPr>
          <w:rFonts w:hint="eastAsia" w:ascii="仿宋" w:hAnsi="仿宋" w:eastAsia="仿宋" w:cs="仿宋"/>
          <w:sz w:val="32"/>
          <w:szCs w:val="32"/>
        </w:rPr>
        <w:t>人员经费支出；项目支出</w:t>
      </w:r>
      <w:r>
        <w:rPr>
          <w:rFonts w:hint="eastAsia" w:ascii="仿宋" w:hAnsi="仿宋" w:eastAsia="仿宋" w:cs="仿宋"/>
          <w:sz w:val="32"/>
          <w:szCs w:val="32"/>
          <w:lang w:eastAsia="zh-CN"/>
        </w:rPr>
        <w:t>增加</w:t>
      </w:r>
      <w:r>
        <w:rPr>
          <w:rFonts w:hint="eastAsia" w:ascii="仿宋" w:hAnsi="仿宋" w:eastAsia="仿宋" w:cs="仿宋"/>
          <w:sz w:val="32"/>
          <w:szCs w:val="32"/>
          <w:lang w:val="en-US" w:eastAsia="zh-CN"/>
        </w:rPr>
        <w:t>51.4</w:t>
      </w:r>
      <w:r>
        <w:rPr>
          <w:rFonts w:hint="eastAsia" w:ascii="仿宋" w:hAnsi="仿宋" w:eastAsia="仿宋" w:cs="仿宋"/>
          <w:sz w:val="32"/>
          <w:szCs w:val="32"/>
        </w:rPr>
        <w:t>万元，主要为增加了</w:t>
      </w:r>
      <w:r>
        <w:rPr>
          <w:rFonts w:hint="eastAsia" w:ascii="仿宋" w:hAnsi="仿宋" w:eastAsia="仿宋" w:cs="仿宋"/>
          <w:sz w:val="32"/>
          <w:szCs w:val="32"/>
          <w:lang w:eastAsia="zh-CN"/>
        </w:rPr>
        <w:t>退役士兵安置支出、广播电视运行支出、出版发行支出</w:t>
      </w:r>
      <w:r>
        <w:rPr>
          <w:rFonts w:hint="eastAsia" w:ascii="仿宋" w:hAnsi="仿宋" w:eastAsia="仿宋" w:cs="仿宋"/>
          <w:sz w:val="32"/>
          <w:szCs w:val="32"/>
        </w:rPr>
        <w:t>。</w:t>
      </w:r>
    </w:p>
    <w:p>
      <w:pPr>
        <w:autoSpaceDE w:val="0"/>
        <w:autoSpaceDN w:val="0"/>
        <w:adjustRightInd w:val="0"/>
        <w:ind w:left="198" w:firstLine="640" w:firstLineChars="200"/>
        <w:jc w:val="left"/>
        <w:rPr>
          <w:rFonts w:ascii="黑体" w:hAnsi="黑体" w:eastAsia="黑体" w:cs="Times New Roman"/>
          <w:sz w:val="32"/>
          <w:szCs w:val="32"/>
        </w:rPr>
      </w:pPr>
      <w:r>
        <w:rPr>
          <w:rFonts w:hint="eastAsia" w:ascii="黑体" w:hAnsi="黑体" w:eastAsia="黑体" w:cs="Times New Roman"/>
          <w:sz w:val="32"/>
          <w:szCs w:val="32"/>
        </w:rPr>
        <w:t>三、机关运行经费安排情况</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2019年，我厅机关运行经费共计安排</w:t>
      </w:r>
      <w:r>
        <w:rPr>
          <w:rFonts w:hint="eastAsia" w:ascii="仿宋" w:hAnsi="仿宋" w:eastAsia="仿宋" w:cs="仿宋"/>
          <w:sz w:val="32"/>
          <w:szCs w:val="32"/>
          <w:lang w:val="en-US" w:eastAsia="zh-CN"/>
        </w:rPr>
        <w:t>71.76</w:t>
      </w:r>
      <w:r>
        <w:rPr>
          <w:rFonts w:hint="eastAsia" w:ascii="仿宋" w:hAnsi="仿宋" w:eastAsia="仿宋" w:cs="仿宋"/>
          <w:sz w:val="32"/>
          <w:szCs w:val="32"/>
        </w:rPr>
        <w:t>万元，主要用于</w:t>
      </w:r>
      <w:r>
        <w:rPr>
          <w:rFonts w:hint="eastAsia" w:ascii="仿宋" w:hAnsi="仿宋" w:eastAsia="仿宋" w:cs="仿宋"/>
          <w:sz w:val="32"/>
          <w:szCs w:val="32"/>
          <w:lang w:eastAsia="zh-CN"/>
        </w:rPr>
        <w:t>办公楼</w:t>
      </w:r>
      <w:r>
        <w:rPr>
          <w:rFonts w:hint="eastAsia" w:ascii="仿宋" w:hAnsi="仿宋" w:eastAsia="仿宋" w:cs="仿宋"/>
          <w:sz w:val="32"/>
          <w:szCs w:val="32"/>
        </w:rPr>
        <w:t>的日常维修、办公用房水电费、办公用房取暖费等日常运行支出。</w:t>
      </w:r>
    </w:p>
    <w:p>
      <w:pPr>
        <w:autoSpaceDE w:val="0"/>
        <w:autoSpaceDN w:val="0"/>
        <w:adjustRightInd w:val="0"/>
        <w:ind w:left="198" w:firstLine="640" w:firstLineChars="200"/>
        <w:jc w:val="left"/>
        <w:rPr>
          <w:rFonts w:ascii="黑体" w:hAnsi="黑体" w:eastAsia="黑体" w:cs="Times New Roman"/>
          <w:sz w:val="32"/>
          <w:szCs w:val="32"/>
        </w:rPr>
      </w:pPr>
      <w:r>
        <w:rPr>
          <w:rFonts w:hint="eastAsia" w:ascii="黑体" w:hAnsi="黑体" w:eastAsia="黑体" w:cs="Times New Roman"/>
          <w:sz w:val="32"/>
          <w:szCs w:val="32"/>
        </w:rPr>
        <w:t>四、财政拨款</w:t>
      </w:r>
      <w:r>
        <w:rPr>
          <w:rFonts w:ascii="黑体" w:hAnsi="黑体" w:eastAsia="黑体" w:cs="Times New Roman"/>
          <w:sz w:val="32"/>
          <w:szCs w:val="32"/>
        </w:rPr>
        <w:t>“</w:t>
      </w:r>
      <w:r>
        <w:rPr>
          <w:rFonts w:hint="eastAsia" w:ascii="黑体" w:hAnsi="黑体" w:eastAsia="黑体" w:cs="Times New Roman"/>
          <w:sz w:val="32"/>
          <w:szCs w:val="32"/>
        </w:rPr>
        <w:t>三公</w:t>
      </w:r>
      <w:r>
        <w:rPr>
          <w:rFonts w:ascii="黑体" w:hAnsi="黑体" w:eastAsia="黑体" w:cs="Times New Roman"/>
          <w:sz w:val="32"/>
          <w:szCs w:val="32"/>
        </w:rPr>
        <w:t>”</w:t>
      </w:r>
      <w:r>
        <w:rPr>
          <w:rFonts w:hint="eastAsia" w:ascii="黑体" w:hAnsi="黑体" w:eastAsia="黑体" w:cs="Times New Roman"/>
          <w:sz w:val="32"/>
          <w:szCs w:val="32"/>
        </w:rPr>
        <w:t>经费预算情况及增减变化原因</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2019年，我</w:t>
      </w:r>
      <w:r>
        <w:rPr>
          <w:rFonts w:hint="eastAsia" w:ascii="仿宋" w:hAnsi="仿宋" w:eastAsia="仿宋" w:cs="仿宋"/>
          <w:sz w:val="32"/>
          <w:szCs w:val="32"/>
          <w:lang w:eastAsia="zh-CN"/>
        </w:rPr>
        <w:t>单位</w:t>
      </w:r>
      <w:r>
        <w:rPr>
          <w:rFonts w:hint="eastAsia" w:ascii="仿宋" w:hAnsi="仿宋" w:eastAsia="仿宋" w:cs="仿宋"/>
          <w:sz w:val="32"/>
          <w:szCs w:val="32"/>
        </w:rPr>
        <w:t>财政拨款“三公”经费预算安排</w:t>
      </w:r>
      <w:r>
        <w:rPr>
          <w:rFonts w:hint="eastAsia" w:ascii="仿宋" w:hAnsi="仿宋" w:eastAsia="仿宋" w:cs="仿宋"/>
          <w:sz w:val="32"/>
          <w:szCs w:val="32"/>
          <w:lang w:val="en-US" w:eastAsia="zh-CN"/>
        </w:rPr>
        <w:t>9.4</w:t>
      </w:r>
      <w:r>
        <w:rPr>
          <w:rFonts w:hint="eastAsia" w:ascii="仿宋" w:hAnsi="仿宋" w:eastAsia="仿宋" w:cs="仿宋"/>
          <w:sz w:val="32"/>
          <w:szCs w:val="32"/>
        </w:rPr>
        <w:t>万元，其中因公出国（境）费</w:t>
      </w:r>
      <w:r>
        <w:rPr>
          <w:rFonts w:hint="eastAsia" w:ascii="仿宋" w:hAnsi="仿宋" w:eastAsia="仿宋" w:cs="仿宋"/>
          <w:sz w:val="32"/>
          <w:szCs w:val="32"/>
          <w:lang w:val="en-US" w:eastAsia="zh-CN"/>
        </w:rPr>
        <w:t>0</w:t>
      </w:r>
      <w:r>
        <w:rPr>
          <w:rFonts w:hint="eastAsia" w:ascii="仿宋" w:hAnsi="仿宋" w:eastAsia="仿宋" w:cs="仿宋"/>
          <w:sz w:val="32"/>
          <w:szCs w:val="32"/>
        </w:rPr>
        <w:t>万元；公务用车购置及运维费</w:t>
      </w:r>
      <w:r>
        <w:rPr>
          <w:rFonts w:hint="eastAsia" w:ascii="仿宋" w:hAnsi="仿宋" w:eastAsia="仿宋" w:cs="仿宋"/>
          <w:sz w:val="32"/>
          <w:szCs w:val="32"/>
          <w:lang w:val="en-US" w:eastAsia="zh-CN"/>
        </w:rPr>
        <w:t>5.4</w:t>
      </w:r>
      <w:r>
        <w:rPr>
          <w:rFonts w:hint="eastAsia" w:ascii="仿宋" w:hAnsi="仿宋" w:eastAsia="仿宋" w:cs="仿宋"/>
          <w:sz w:val="32"/>
          <w:szCs w:val="32"/>
        </w:rPr>
        <w:t>万元（其中：公务用车购置费为0万元，公务用车运维费</w:t>
      </w:r>
      <w:r>
        <w:rPr>
          <w:rFonts w:hint="eastAsia" w:ascii="仿宋" w:hAnsi="仿宋" w:eastAsia="仿宋" w:cs="仿宋"/>
          <w:sz w:val="32"/>
          <w:szCs w:val="32"/>
          <w:lang w:val="en-US" w:eastAsia="zh-CN"/>
        </w:rPr>
        <w:t>5.4</w:t>
      </w:r>
      <w:r>
        <w:rPr>
          <w:rFonts w:hint="eastAsia" w:ascii="仿宋" w:hAnsi="仿宋" w:eastAsia="仿宋" w:cs="仿宋"/>
          <w:sz w:val="32"/>
          <w:szCs w:val="32"/>
        </w:rPr>
        <w:t>万元)；公务接待费</w:t>
      </w:r>
      <w:r>
        <w:rPr>
          <w:rFonts w:hint="eastAsia" w:ascii="仿宋" w:hAnsi="仿宋" w:eastAsia="仿宋" w:cs="仿宋"/>
          <w:sz w:val="32"/>
          <w:szCs w:val="32"/>
          <w:lang w:val="en-US" w:eastAsia="zh-CN"/>
        </w:rPr>
        <w:t>4</w:t>
      </w:r>
      <w:r>
        <w:rPr>
          <w:rFonts w:hint="eastAsia" w:ascii="仿宋" w:hAnsi="仿宋" w:eastAsia="仿宋" w:cs="仿宋"/>
          <w:sz w:val="32"/>
          <w:szCs w:val="32"/>
        </w:rPr>
        <w:t>万元。与2018年相比</w:t>
      </w:r>
      <w:r>
        <w:rPr>
          <w:rFonts w:hint="eastAsia" w:ascii="仿宋" w:hAnsi="仿宋" w:eastAsia="仿宋" w:cs="仿宋"/>
          <w:sz w:val="32"/>
          <w:szCs w:val="32"/>
          <w:lang w:eastAsia="zh-CN"/>
        </w:rPr>
        <w:t>持平，无增减变化</w:t>
      </w:r>
      <w:r>
        <w:rPr>
          <w:rFonts w:hint="eastAsia" w:ascii="仿宋" w:hAnsi="仿宋" w:eastAsia="仿宋" w:cs="仿宋"/>
          <w:sz w:val="32"/>
          <w:szCs w:val="32"/>
        </w:rPr>
        <w:t>。</w:t>
      </w:r>
    </w:p>
    <w:p>
      <w:pPr>
        <w:ind w:firstLine="640"/>
        <w:rPr>
          <w:rFonts w:ascii="黑体" w:hAnsi="黑体" w:eastAsia="黑体" w:cs="Times New Roman"/>
          <w:sz w:val="32"/>
          <w:szCs w:val="32"/>
        </w:rPr>
      </w:pPr>
      <w:r>
        <w:rPr>
          <w:rFonts w:hint="eastAsia" w:ascii="黑体" w:hAnsi="黑体" w:eastAsia="黑体" w:cs="Times New Roman"/>
          <w:sz w:val="32"/>
          <w:szCs w:val="32"/>
        </w:rPr>
        <w:t>五、绩效预算信息</w:t>
      </w:r>
    </w:p>
    <w:p>
      <w:pPr>
        <w:ind w:firstLine="640" w:firstLineChars="200"/>
        <w:jc w:val="left"/>
        <w:rPr>
          <w:rFonts w:ascii="Times New Roman" w:hAnsi="Times New Roman" w:eastAsia="方正仿宋_GBK" w:cs="Times New Roman"/>
          <w:b/>
          <w:sz w:val="32"/>
          <w:szCs w:val="32"/>
        </w:rPr>
      </w:pPr>
      <w:bookmarkStart w:id="0" w:name="_Toc471398463"/>
      <w:r>
        <w:rPr>
          <w:rFonts w:ascii="Times New Roman" w:hAnsi="Times New Roman" w:eastAsia="方正仿宋_GBK" w:cs="Times New Roman"/>
          <w:b/>
          <w:sz w:val="32"/>
          <w:szCs w:val="32"/>
        </w:rPr>
        <w:t>总体绩效目标：</w:t>
      </w:r>
    </w:p>
    <w:p>
      <w:pPr>
        <w:ind w:firstLine="560"/>
        <w:rPr>
          <w:rFonts w:hint="eastAsia" w:ascii="仿宋" w:hAnsi="仿宋" w:eastAsia="仿宋" w:cs="仿宋"/>
          <w:sz w:val="32"/>
          <w:szCs w:val="32"/>
        </w:rPr>
      </w:pPr>
      <w:r>
        <w:rPr>
          <w:rFonts w:hint="eastAsia" w:ascii="仿宋" w:hAnsi="仿宋" w:eastAsia="仿宋" w:cs="仿宋"/>
          <w:sz w:val="32"/>
          <w:szCs w:val="32"/>
        </w:rPr>
        <w:t>1.助推区委、区政府中心工作，营造浓厚氛围，完成宣传报道任务。</w:t>
      </w:r>
    </w:p>
    <w:p>
      <w:pPr>
        <w:ind w:firstLine="560"/>
        <w:rPr>
          <w:rFonts w:hint="eastAsia" w:ascii="仿宋" w:hAnsi="仿宋" w:eastAsia="仿宋" w:cs="仿宋"/>
          <w:sz w:val="32"/>
          <w:szCs w:val="32"/>
        </w:rPr>
      </w:pPr>
      <w:r>
        <w:rPr>
          <w:rFonts w:hint="eastAsia" w:ascii="仿宋" w:hAnsi="仿宋" w:eastAsia="仿宋" w:cs="仿宋"/>
          <w:sz w:val="32"/>
          <w:szCs w:val="32"/>
        </w:rPr>
        <w:t>2.增加鹿泉正面宣传在市台、省台的播出量，提高鹿泉美誉度和影响力。</w:t>
      </w:r>
    </w:p>
    <w:p>
      <w:pPr>
        <w:ind w:firstLine="560"/>
        <w:rPr>
          <w:rFonts w:hint="eastAsia" w:ascii="仿宋" w:hAnsi="仿宋" w:eastAsia="仿宋" w:cs="仿宋"/>
          <w:sz w:val="32"/>
          <w:szCs w:val="32"/>
        </w:rPr>
      </w:pPr>
      <w:r>
        <w:rPr>
          <w:rFonts w:hint="eastAsia" w:ascii="仿宋" w:hAnsi="仿宋" w:eastAsia="仿宋" w:cs="仿宋"/>
          <w:sz w:val="32"/>
          <w:szCs w:val="32"/>
        </w:rPr>
        <w:t>3.制作播出公益广告，并以公益广告的形式对大众进行政治思想观教育，进行民族文化建设，传递政治思想正能量、弘扬民族精神；较好的完成上级任务，并支持相关部门做好公益宣传。</w:t>
      </w:r>
    </w:p>
    <w:p>
      <w:pPr>
        <w:ind w:firstLine="560"/>
        <w:rPr>
          <w:rFonts w:hint="eastAsia" w:ascii="仿宋" w:hAnsi="仿宋" w:eastAsia="仿宋" w:cs="仿宋"/>
          <w:sz w:val="32"/>
          <w:szCs w:val="32"/>
        </w:rPr>
        <w:sectPr>
          <w:pgSz w:w="16838" w:h="11906" w:orient="landscape"/>
          <w:pgMar w:top="1803" w:right="1440" w:bottom="1803" w:left="1440" w:header="851" w:footer="992" w:gutter="0"/>
          <w:cols w:space="0" w:num="1"/>
          <w:rtlGutter w:val="0"/>
          <w:docGrid w:type="lines" w:linePitch="319" w:charSpace="0"/>
        </w:sectPr>
      </w:pPr>
    </w:p>
    <w:p>
      <w:pPr>
        <w:ind w:firstLine="560"/>
        <w:rPr>
          <w:rFonts w:hint="eastAsia" w:ascii="Times New Roman" w:hAnsi="Times New Roman" w:eastAsia="方正仿宋_GBK" w:cs="Times New Roman"/>
          <w:sz w:val="32"/>
          <w:szCs w:val="32"/>
        </w:rPr>
      </w:pPr>
    </w:p>
    <w:p>
      <w:pPr>
        <w:ind w:firstLine="640" w:firstLineChars="200"/>
        <w:jc w:val="left"/>
        <w:rPr>
          <w:rFonts w:ascii="Times New Roman" w:hAnsi="Times New Roman" w:eastAsia="方正仿宋_GBK" w:cs="Times New Roman"/>
          <w:b/>
          <w:sz w:val="32"/>
          <w:szCs w:val="32"/>
        </w:rPr>
      </w:pPr>
      <w:r>
        <w:rPr>
          <w:rFonts w:hint="eastAsia" w:ascii="Times New Roman" w:hAnsi="Times New Roman" w:eastAsia="方正仿宋_GBK" w:cs="Times New Roman"/>
          <w:b/>
          <w:sz w:val="32"/>
          <w:szCs w:val="32"/>
        </w:rPr>
        <w:t>职责分类绩效目标：</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是着力提高收入质量。把收入提质放在更加突出的位置，落实促进县域经济高质量发展十条财政政策，培育优质财源，促进县域收入规模质量双提升。强化财税部门协调联动，深化综合治税，规范非税管理，做好分析预测、运行监控、调度督导等工作，开展收入质量督查，确保完成收入目标任务，并不断优化收入结构、提高税收占比。</w:t>
      </w:r>
    </w:p>
    <w:p>
      <w:pPr>
        <w:ind w:firstLine="560"/>
        <w:rPr>
          <w:rFonts w:ascii="楷体_GB2312" w:hAnsi="Times New Roman" w:eastAsia="楷体_GB2312" w:cs="Times New Roman"/>
          <w:b/>
          <w:sz w:val="32"/>
          <w:szCs w:val="24"/>
        </w:rPr>
      </w:pPr>
      <w:r>
        <w:rPr>
          <w:rFonts w:hint="eastAsia" w:ascii="楷体_GB2312" w:hAnsi="黑体" w:eastAsia="楷体_GB2312" w:cs="Times New Roman"/>
          <w:b/>
          <w:sz w:val="32"/>
          <w:szCs w:val="32"/>
        </w:rPr>
        <w:t>部门职责及工作活动绩效目标指标：</w:t>
      </w:r>
    </w:p>
    <w:bookmarkEnd w:id="0"/>
    <w:tbl>
      <w:tblPr>
        <w:tblStyle w:val="12"/>
        <w:tblW w:w="1393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341"/>
        <w:gridCol w:w="1276"/>
        <w:gridCol w:w="2976"/>
        <w:gridCol w:w="2976"/>
        <w:gridCol w:w="1417"/>
        <w:gridCol w:w="737"/>
        <w:gridCol w:w="737"/>
        <w:gridCol w:w="737"/>
        <w:gridCol w:w="73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10986" w:type="dxa"/>
            <w:gridSpan w:val="5"/>
            <w:tcBorders>
              <w:top w:val="single" w:color="FFFFFF" w:sz="6" w:space="0"/>
              <w:left w:val="single" w:color="FFFFFF" w:sz="6" w:space="0"/>
              <w:right w:val="single" w:color="FFFFFF" w:sz="6" w:space="0"/>
            </w:tcBorders>
            <w:shd w:val="clear" w:color="auto" w:fill="auto"/>
            <w:vAlign w:val="center"/>
          </w:tcPr>
          <w:p>
            <w:pPr>
              <w:spacing w:line="300" w:lineRule="exact"/>
              <w:jc w:val="left"/>
              <w:rPr>
                <w:rFonts w:ascii="方正小标宋_GBK" w:eastAsia="方正小标宋_GBK"/>
                <w:sz w:val="24"/>
              </w:rPr>
            </w:pPr>
            <w:bookmarkStart w:id="2" w:name="_GoBack"/>
            <w:bookmarkEnd w:id="2"/>
            <w:r>
              <w:rPr>
                <w:rFonts w:ascii="方正小标宋_GBK" w:eastAsia="方正小标宋_GBK"/>
                <w:sz w:val="24"/>
              </w:rPr>
              <w:t>359</w:t>
            </w:r>
            <w:r>
              <w:rPr>
                <w:rFonts w:hint="eastAsia" w:ascii="方正小标宋_GBK" w:eastAsia="方正小标宋_GBK"/>
                <w:sz w:val="24"/>
              </w:rPr>
              <w:t>石家庄市鹿泉区广播电视台</w:t>
            </w:r>
          </w:p>
        </w:tc>
        <w:tc>
          <w:tcPr>
            <w:tcW w:w="2948" w:type="dxa"/>
            <w:gridSpan w:val="4"/>
            <w:tcBorders>
              <w:top w:val="single" w:color="FFFFFF" w:sz="6" w:space="0"/>
              <w:left w:val="single" w:color="FFFFFF" w:sz="6" w:space="0"/>
              <w:right w:val="single" w:color="FFFFFF" w:sz="6" w:space="0"/>
            </w:tcBorders>
            <w:shd w:val="clear" w:color="auto" w:fill="auto"/>
            <w:vAlign w:val="center"/>
          </w:tcPr>
          <w:p>
            <w:pPr>
              <w:spacing w:line="300" w:lineRule="exact"/>
              <w:jc w:val="right"/>
              <w:rPr>
                <w:rFonts w:ascii="方正书宋_GBK" w:eastAsia="方正书宋_GBK"/>
                <w:sz w:val="24"/>
              </w:rPr>
            </w:pPr>
            <w:r>
              <w:rPr>
                <w:rFonts w:hint="eastAsia" w:ascii="方正书宋_GBK" w:eastAsia="方正书宋_GBK"/>
                <w:sz w:val="24"/>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2341"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职责活动</w:t>
            </w:r>
          </w:p>
        </w:tc>
        <w:tc>
          <w:tcPr>
            <w:tcW w:w="1276"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年度预算数</w:t>
            </w:r>
          </w:p>
        </w:tc>
        <w:tc>
          <w:tcPr>
            <w:tcW w:w="2976"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内容描述</w:t>
            </w:r>
          </w:p>
        </w:tc>
        <w:tc>
          <w:tcPr>
            <w:tcW w:w="2976"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绩效目标</w:t>
            </w:r>
          </w:p>
        </w:tc>
        <w:tc>
          <w:tcPr>
            <w:tcW w:w="1417"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绩效指标</w:t>
            </w:r>
          </w:p>
        </w:tc>
        <w:tc>
          <w:tcPr>
            <w:tcW w:w="2948" w:type="dxa"/>
            <w:gridSpan w:val="4"/>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评价标准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2341" w:type="dxa"/>
            <w:vMerge w:val="continue"/>
            <w:shd w:val="clear" w:color="auto" w:fill="auto"/>
            <w:vAlign w:val="center"/>
          </w:tcPr>
          <w:p>
            <w:pPr>
              <w:spacing w:line="300" w:lineRule="exact"/>
              <w:jc w:val="left"/>
              <w:outlineLvl w:val="0"/>
            </w:pPr>
          </w:p>
        </w:tc>
        <w:tc>
          <w:tcPr>
            <w:tcW w:w="1276" w:type="dxa"/>
            <w:vMerge w:val="continue"/>
            <w:shd w:val="clear" w:color="auto" w:fill="auto"/>
            <w:vAlign w:val="center"/>
          </w:tcPr>
          <w:p>
            <w:pPr>
              <w:spacing w:line="300" w:lineRule="exact"/>
              <w:jc w:val="left"/>
              <w:outlineLvl w:val="0"/>
            </w:pPr>
          </w:p>
        </w:tc>
        <w:tc>
          <w:tcPr>
            <w:tcW w:w="2976" w:type="dxa"/>
            <w:vMerge w:val="continue"/>
            <w:shd w:val="clear" w:color="auto" w:fill="auto"/>
            <w:vAlign w:val="center"/>
          </w:tcPr>
          <w:p>
            <w:pPr>
              <w:spacing w:line="300" w:lineRule="exact"/>
              <w:jc w:val="left"/>
              <w:outlineLvl w:val="0"/>
            </w:pPr>
          </w:p>
        </w:tc>
        <w:tc>
          <w:tcPr>
            <w:tcW w:w="2976" w:type="dxa"/>
            <w:vMerge w:val="continue"/>
            <w:shd w:val="clear" w:color="auto" w:fill="auto"/>
            <w:vAlign w:val="center"/>
          </w:tcPr>
          <w:p>
            <w:pPr>
              <w:spacing w:line="300" w:lineRule="exact"/>
              <w:jc w:val="left"/>
              <w:outlineLvl w:val="0"/>
            </w:pPr>
          </w:p>
        </w:tc>
        <w:tc>
          <w:tcPr>
            <w:tcW w:w="1417" w:type="dxa"/>
            <w:vMerge w:val="continue"/>
            <w:shd w:val="clear" w:color="auto" w:fill="auto"/>
            <w:vAlign w:val="center"/>
          </w:tcPr>
          <w:p>
            <w:pPr>
              <w:spacing w:line="300" w:lineRule="exact"/>
              <w:jc w:val="left"/>
              <w:outlineLvl w:val="0"/>
            </w:pPr>
          </w:p>
        </w:tc>
        <w:tc>
          <w:tcPr>
            <w:tcW w:w="73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优</w:t>
            </w:r>
          </w:p>
        </w:tc>
        <w:tc>
          <w:tcPr>
            <w:tcW w:w="73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良</w:t>
            </w:r>
          </w:p>
        </w:tc>
        <w:tc>
          <w:tcPr>
            <w:tcW w:w="73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中</w:t>
            </w:r>
          </w:p>
        </w:tc>
        <w:tc>
          <w:tcPr>
            <w:tcW w:w="73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一、广播电视事业建设</w:t>
            </w:r>
          </w:p>
        </w:tc>
        <w:tc>
          <w:tcPr>
            <w:tcW w:w="1276" w:type="dxa"/>
            <w:shd w:val="clear" w:color="auto" w:fill="auto"/>
            <w:vAlign w:val="center"/>
          </w:tcPr>
          <w:p>
            <w:pPr>
              <w:spacing w:line="300" w:lineRule="exact"/>
              <w:jc w:val="left"/>
              <w:rPr>
                <w:rFonts w:ascii="方正书宋_GBK" w:eastAsia="方正书宋_GBK"/>
              </w:rPr>
            </w:pPr>
            <w:r>
              <w:rPr>
                <w:rFonts w:hint="eastAsia" w:ascii="方正书宋_GBK" w:eastAsia="方正书宋_GBK"/>
                <w:lang w:val="en-US" w:eastAsia="zh-CN"/>
              </w:rPr>
              <w:t>153</w:t>
            </w:r>
            <w:r>
              <w:rPr>
                <w:rFonts w:ascii="方正书宋_GBK" w:eastAsia="方正书宋_GBK"/>
              </w:rPr>
              <w:t>.00</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做好各类广播电视节目的采编、制作、播出，组织开展节目创优。建立广播电视安全播出保障体系，加强安全播出管理。负责广播电视网络设施的建设、管理、维护及广播电视新技术应用工作。组织实施重大公益工程和公益活动。</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宣传党的路线、方针、政策和区委、区政府的工作部署，坚持正确舆论导向，发挥主流媒体作用；开展新闻宣传，办好各类广播电视节目；配合上级台完成我区的采访报道工作并提供各类节目；承担区委、区政府形象宣传片及专题片的创作生产。负责相关设备的正常运行和维护。</w:t>
            </w:r>
          </w:p>
        </w:tc>
        <w:tc>
          <w:tcPr>
            <w:tcW w:w="1417" w:type="dxa"/>
            <w:shd w:val="clear" w:color="auto" w:fill="auto"/>
            <w:vAlign w:val="center"/>
          </w:tcPr>
          <w:p>
            <w:pPr>
              <w:spacing w:line="300" w:lineRule="exact"/>
              <w:jc w:val="left"/>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、广播电视节目制作播出</w:t>
            </w:r>
          </w:p>
        </w:tc>
        <w:tc>
          <w:tcPr>
            <w:tcW w:w="1276" w:type="dxa"/>
            <w:vMerge w:val="restart"/>
            <w:shd w:val="clear" w:color="auto" w:fill="auto"/>
            <w:vAlign w:val="center"/>
          </w:tcPr>
          <w:p>
            <w:pPr>
              <w:spacing w:line="300" w:lineRule="exact"/>
              <w:jc w:val="left"/>
              <w:rPr>
                <w:rFonts w:ascii="方正书宋_GBK" w:eastAsia="方正书宋_GBK"/>
              </w:rPr>
            </w:pPr>
            <w:r>
              <w:rPr>
                <w:rFonts w:hint="eastAsia" w:ascii="方正书宋_GBK" w:eastAsia="方正书宋_GBK"/>
                <w:lang w:val="en-US" w:eastAsia="zh-CN"/>
              </w:rPr>
              <w:t>120</w:t>
            </w:r>
            <w:r>
              <w:rPr>
                <w:rFonts w:ascii="方正书宋_GBK" w:eastAsia="方正书宋_GBK"/>
              </w:rPr>
              <w:t>.00</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坚持正确舆论导向，发挥主流媒体作用，加强内容形式以及方法手段创新，办好各类广播、电视节目，提高广播电视覆盖人口规模与数量，提升电台、电视台影响力。</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完成电台、电视台自播新闻、专题、文艺节目的采、编、播工作。研发新节目，打造品牌活动；媒体识别度和影响力进一步提升，收听收看群体扩大；广告创收任务完成。</w:t>
            </w: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对上宣传报道量</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75%</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&lt;75%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本台自播新闻、专题量</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75%</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&lt;75%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2</w:t>
            </w:r>
            <w:r>
              <w:rPr>
                <w:rFonts w:hint="eastAsia" w:ascii="方正书宋_GBK" w:eastAsia="方正书宋_GBK"/>
                <w:b/>
              </w:rPr>
              <w:t>、广播电视节目制作能力建设</w:t>
            </w:r>
          </w:p>
        </w:tc>
        <w:tc>
          <w:tcPr>
            <w:tcW w:w="1276" w:type="dxa"/>
            <w:vMerge w:val="restart"/>
            <w:shd w:val="clear" w:color="auto" w:fill="auto"/>
            <w:vAlign w:val="center"/>
          </w:tcPr>
          <w:p>
            <w:pPr>
              <w:spacing w:line="300" w:lineRule="exact"/>
              <w:jc w:val="left"/>
              <w:rPr>
                <w:rFonts w:ascii="方正书宋_GBK" w:eastAsia="方正书宋_GBK"/>
              </w:rPr>
            </w:pP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加强技术管理、技术升级改造及设备设施维护，开展新技术应用。向移动互联网跨越发展，打造智能生活服务类客户端，促进媒体融合。</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通过技术升级，实现台内资源互通互享，提高节目制力和传播能力；拓展新媒体传播途径，开拓新型业务。</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新媒体的融合度</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新媒体设备利用率</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数字化设备更新率</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3</w:t>
            </w:r>
            <w:r>
              <w:rPr>
                <w:rFonts w:hint="eastAsia" w:ascii="方正书宋_GBK" w:eastAsia="方正书宋_GBK"/>
                <w:b/>
              </w:rPr>
              <w:t>、安全播出管理</w:t>
            </w:r>
          </w:p>
        </w:tc>
        <w:tc>
          <w:tcPr>
            <w:tcW w:w="1276" w:type="dxa"/>
            <w:shd w:val="clear" w:color="auto" w:fill="auto"/>
            <w:vAlign w:val="center"/>
          </w:tcPr>
          <w:p>
            <w:pPr>
              <w:spacing w:line="300" w:lineRule="exact"/>
              <w:jc w:val="left"/>
              <w:rPr>
                <w:rFonts w:hint="eastAsia" w:ascii="方正书宋_GBK" w:eastAsia="方正书宋_GBK"/>
                <w:lang w:val="en-US" w:eastAsia="zh-CN"/>
              </w:rPr>
            </w:pPr>
            <w:r>
              <w:rPr>
                <w:rFonts w:hint="eastAsia" w:ascii="方正书宋_GBK" w:eastAsia="方正书宋_GBK"/>
                <w:lang w:val="en-US" w:eastAsia="zh-CN"/>
              </w:rPr>
              <w:t>53.00</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对广播电视节目传输、覆盖及网络和新媒体内容等的安全播出情况进行监管；对发射台的运行维护管理。</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建立起完备的广播电视安全播出保障体系，加强维护和演练。</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广播电视节目停播率</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5</w:t>
            </w:r>
            <w:r>
              <w:rPr>
                <w:rFonts w:hint="eastAsia" w:ascii="方正书宋_GBK" w:eastAsia="方正书宋_GBK"/>
              </w:rPr>
              <w:t>秒</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20</w:t>
            </w:r>
            <w:r>
              <w:rPr>
                <w:rFonts w:hint="eastAsia" w:ascii="方正书宋_GBK" w:eastAsia="方正书宋_GBK"/>
              </w:rPr>
              <w:t>秒</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60</w:t>
            </w:r>
            <w:r>
              <w:rPr>
                <w:rFonts w:hint="eastAsia" w:ascii="方正书宋_GBK" w:eastAsia="方正书宋_GBK"/>
              </w:rPr>
              <w:t>秒</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60</w:t>
            </w:r>
            <w:r>
              <w:rPr>
                <w:rFonts w:hint="eastAsia" w:ascii="方正书宋_GBK" w:eastAsia="方正书宋_GBK"/>
              </w:rPr>
              <w:t>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二、政务管理</w:t>
            </w:r>
          </w:p>
        </w:tc>
        <w:tc>
          <w:tcPr>
            <w:tcW w:w="1276" w:type="dxa"/>
            <w:shd w:val="clear" w:color="auto" w:fill="auto"/>
            <w:vAlign w:val="center"/>
          </w:tcPr>
          <w:p>
            <w:pPr>
              <w:spacing w:line="300" w:lineRule="exact"/>
              <w:jc w:val="left"/>
              <w:rPr>
                <w:rFonts w:hint="eastAsia" w:ascii="方正书宋_GBK" w:eastAsia="方正书宋_GBK"/>
                <w:lang w:val="en-US" w:eastAsia="zh-CN"/>
              </w:rPr>
            </w:pPr>
            <w:r>
              <w:rPr>
                <w:rFonts w:hint="eastAsia" w:ascii="方正书宋_GBK" w:eastAsia="方正书宋_GBK"/>
                <w:lang w:val="en-US" w:eastAsia="zh-CN"/>
              </w:rPr>
              <w:t>2.397</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负责系统综合业务管理和机关综合事务管理。</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拟定广播电视产业发展规划；广播电视节目内容和质量监督管理；负责市场经营活动的监督管理工作</w:t>
            </w:r>
          </w:p>
        </w:tc>
        <w:tc>
          <w:tcPr>
            <w:tcW w:w="1417" w:type="dxa"/>
            <w:shd w:val="clear" w:color="auto" w:fill="auto"/>
            <w:vAlign w:val="center"/>
          </w:tcPr>
          <w:p>
            <w:pPr>
              <w:spacing w:line="300" w:lineRule="exact"/>
              <w:jc w:val="left"/>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、综合业务管理</w:t>
            </w:r>
          </w:p>
        </w:tc>
        <w:tc>
          <w:tcPr>
            <w:tcW w:w="1276" w:type="dxa"/>
            <w:shd w:val="clear" w:color="auto" w:fill="auto"/>
            <w:vAlign w:val="center"/>
          </w:tcPr>
          <w:p>
            <w:pPr>
              <w:spacing w:line="300" w:lineRule="exact"/>
              <w:jc w:val="left"/>
              <w:rPr>
                <w:rFonts w:hint="eastAsia" w:ascii="方正书宋_GBK" w:eastAsia="方正书宋_GBK"/>
                <w:lang w:val="en-US" w:eastAsia="zh-CN"/>
              </w:rPr>
            </w:pPr>
            <w:r>
              <w:rPr>
                <w:rFonts w:hint="eastAsia" w:ascii="方正书宋_GBK" w:eastAsia="方正书宋_GBK"/>
                <w:lang w:val="en-US" w:eastAsia="zh-CN"/>
              </w:rPr>
              <w:t>2.397</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拟定广播电视产业发展规划；开展广播电视新闻宣传、事业发展、安全播出监督管理；监督管理市场经营活动。</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确保各项业务工作谋划到位、顺利开展。</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综合业务管理工作完成率</w:t>
            </w:r>
          </w:p>
        </w:tc>
        <w:tc>
          <w:tcPr>
            <w:tcW w:w="737" w:type="dxa"/>
            <w:shd w:val="clear" w:color="auto" w:fill="auto"/>
            <w:vAlign w:val="center"/>
          </w:tcPr>
          <w:p>
            <w:pPr>
              <w:spacing w:line="300" w:lineRule="exact"/>
              <w:jc w:val="center"/>
              <w:rPr>
                <w:rFonts w:hint="eastAsia"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ascii="方正书宋_GBK" w:eastAsia="方正书宋_GBK"/>
              </w:rPr>
              <w:t>&lt;90%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45"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2</w:t>
            </w:r>
            <w:r>
              <w:rPr>
                <w:rFonts w:hint="eastAsia" w:ascii="方正书宋_GBK" w:eastAsia="方正书宋_GBK"/>
                <w:b/>
              </w:rPr>
              <w:t>、综合事务管理</w:t>
            </w:r>
          </w:p>
        </w:tc>
        <w:tc>
          <w:tcPr>
            <w:tcW w:w="1276" w:type="dxa"/>
            <w:shd w:val="clear" w:color="auto" w:fill="auto"/>
            <w:vAlign w:val="center"/>
          </w:tcPr>
          <w:p>
            <w:pPr>
              <w:spacing w:line="300" w:lineRule="exact"/>
              <w:jc w:val="left"/>
              <w:rPr>
                <w:rFonts w:hint="eastAsia" w:ascii="方正书宋_GBK" w:eastAsia="方正书宋_GBK"/>
                <w:lang w:val="en-US" w:eastAsia="zh-CN"/>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开展广播电视新知识、新业务研究、培训。组织节目评选、创优、上报。做好后勤保障以及其他各项基础性保障工作。</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保障机关工作正常高效运转。</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综合事务管理工作完成率</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lang w:eastAsia="zh-CN"/>
              </w:rPr>
            </w:pPr>
            <w:r>
              <w:rPr>
                <w:rFonts w:hint="eastAsia" w:ascii="方正书宋_GBK" w:eastAsia="方正书宋_GBK"/>
                <w:b/>
                <w:lang w:eastAsia="zh-CN"/>
              </w:rPr>
              <w:t>三、宣传思想工作</w:t>
            </w:r>
          </w:p>
        </w:tc>
        <w:tc>
          <w:tcPr>
            <w:tcW w:w="1276" w:type="dxa"/>
            <w:shd w:val="clear" w:color="auto" w:fill="auto"/>
            <w:vAlign w:val="center"/>
          </w:tcPr>
          <w:p>
            <w:pPr>
              <w:spacing w:line="300" w:lineRule="exact"/>
              <w:jc w:val="left"/>
              <w:rPr>
                <w:rFonts w:hint="eastAsia" w:ascii="方正书宋_GBK" w:eastAsia="方正书宋_GBK"/>
                <w:lang w:val="en-US" w:eastAsia="zh-CN"/>
              </w:rPr>
            </w:pPr>
            <w:r>
              <w:rPr>
                <w:rFonts w:hint="eastAsia" w:ascii="方正书宋_GBK" w:eastAsia="方正书宋_GBK"/>
                <w:lang w:val="en-US" w:eastAsia="zh-CN"/>
              </w:rPr>
              <w:t>11.00</w:t>
            </w:r>
          </w:p>
        </w:tc>
        <w:tc>
          <w:tcPr>
            <w:tcW w:w="2976" w:type="dxa"/>
            <w:shd w:val="clear" w:color="auto" w:fill="auto"/>
            <w:vAlign w:val="center"/>
          </w:tcPr>
          <w:p>
            <w:pPr>
              <w:spacing w:line="300" w:lineRule="exact"/>
              <w:jc w:val="left"/>
              <w:rPr>
                <w:rFonts w:hint="eastAsia"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lang w:val="en-US" w:eastAsia="zh-CN"/>
              </w:rPr>
            </w:pPr>
            <w:r>
              <w:rPr>
                <w:rFonts w:hint="eastAsia" w:ascii="方正书宋_GBK" w:eastAsia="方正书宋_GBK"/>
                <w:b/>
                <w:lang w:val="en-US" w:eastAsia="zh-CN"/>
              </w:rPr>
              <w:t>1、舆情引导确保全区舆论导向</w:t>
            </w:r>
          </w:p>
        </w:tc>
        <w:tc>
          <w:tcPr>
            <w:tcW w:w="1276" w:type="dxa"/>
            <w:shd w:val="clear" w:color="auto" w:fill="auto"/>
            <w:vAlign w:val="center"/>
          </w:tcPr>
          <w:p>
            <w:pPr>
              <w:spacing w:line="300" w:lineRule="exact"/>
              <w:jc w:val="left"/>
              <w:rPr>
                <w:rFonts w:hint="eastAsia" w:ascii="方正书宋_GBK" w:eastAsia="方正书宋_GBK"/>
                <w:lang w:val="en-US" w:eastAsia="zh-CN"/>
              </w:rPr>
            </w:pPr>
            <w:r>
              <w:rPr>
                <w:rFonts w:hint="eastAsia" w:ascii="方正书宋_GBK" w:eastAsia="方正书宋_GBK"/>
                <w:lang w:val="en-US" w:eastAsia="zh-CN"/>
              </w:rPr>
              <w:t>11.00</w:t>
            </w:r>
          </w:p>
        </w:tc>
        <w:tc>
          <w:tcPr>
            <w:tcW w:w="2976" w:type="dxa"/>
            <w:shd w:val="clear" w:color="auto" w:fill="auto"/>
            <w:vAlign w:val="center"/>
          </w:tcPr>
          <w:p>
            <w:pPr>
              <w:spacing w:line="300" w:lineRule="exact"/>
              <w:jc w:val="left"/>
              <w:rPr>
                <w:rFonts w:hint="eastAsia" w:ascii="方正书宋_GBK" w:eastAsia="方正书宋_GBK"/>
                <w:lang w:eastAsia="zh-CN"/>
              </w:rPr>
            </w:pPr>
            <w:r>
              <w:rPr>
                <w:rFonts w:hint="eastAsia" w:ascii="方正书宋_GBK" w:eastAsia="方正书宋_GBK"/>
                <w:lang w:eastAsia="zh-CN"/>
              </w:rPr>
              <w:t>坚持每周编辑、出版、发行《鹿泉视窗》，遇全国重大事项出版专版或专刊，遇国家重大节假日休刊，通过记者到全区各单位采访搜集第一手鲜活新闻素材，撰写、编辑时政新闻、工作通讯、各行业先进典型、文艺稿件等，全面反映区委区政府重大决策、部署，宣传身边好人好事，弘扬社会正能量，统一全区广大党员干部群众思想，为实现大美新城、幸福鹿泉凝心聚力。确保正确舆论导向，为全区各项工作的顺利展开提供思想保证和舆论支持。</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lang w:eastAsia="zh-CN"/>
              </w:rPr>
              <w:t>每周编辑、出版、发行《鹿泉视窗》；按时发放到区直部门、乡镇、开发区等单位；统一全区广大党员干部思想，为全区各项工作的顺利展开提供思想保证和舆论支持。</w:t>
            </w:r>
          </w:p>
        </w:tc>
        <w:tc>
          <w:tcPr>
            <w:tcW w:w="1417" w:type="dxa"/>
            <w:shd w:val="clear" w:color="auto" w:fill="auto"/>
            <w:vAlign w:val="center"/>
          </w:tcPr>
          <w:p>
            <w:pPr>
              <w:spacing w:line="300" w:lineRule="exact"/>
              <w:jc w:val="left"/>
              <w:rPr>
                <w:rFonts w:hint="eastAsia" w:ascii="方正书宋_GBK" w:eastAsia="方正书宋_GBK"/>
                <w:lang w:eastAsia="zh-CN"/>
              </w:rPr>
            </w:pPr>
            <w:r>
              <w:rPr>
                <w:rFonts w:hint="eastAsia" w:ascii="方正书宋_GBK" w:eastAsia="方正书宋_GBK"/>
                <w:lang w:eastAsia="zh-CN"/>
              </w:rPr>
              <w:t>《鹿泉视窗》出版率、读者满意率、发行覆盖面</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hint="eastAsia" w:ascii="方正书宋_GBK" w:eastAsia="方正书宋_GBK"/>
                <w:lang w:val="en-US" w:eastAsia="zh-CN"/>
              </w:rPr>
              <w:t>8</w:t>
            </w:r>
            <w:r>
              <w:rPr>
                <w:rFonts w:ascii="方正书宋_GBK" w:eastAsia="方正书宋_GBK"/>
              </w:rPr>
              <w:t>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&lt;</w:t>
            </w:r>
            <w:r>
              <w:rPr>
                <w:rFonts w:hint="eastAsia" w:ascii="方正书宋_GBK" w:eastAsia="方正书宋_GBK"/>
                <w:lang w:val="en-US" w:eastAsia="zh-CN"/>
              </w:rPr>
              <w:t>8</w:t>
            </w:r>
            <w:r>
              <w:rPr>
                <w:rFonts w:ascii="方正书宋_GBK" w:eastAsia="方正书宋_GBK"/>
              </w:rPr>
              <w:t>0%</w:t>
            </w:r>
          </w:p>
        </w:tc>
      </w:tr>
    </w:tbl>
    <w:p>
      <w:pPr>
        <w:ind w:firstLine="560"/>
        <w:rPr>
          <w:rFonts w:hint="eastAsia" w:ascii="仿宋_GB2312" w:hAnsi="宋体" w:eastAsia="仿宋_GB2312"/>
          <w:sz w:val="32"/>
          <w:szCs w:val="32"/>
        </w:rPr>
      </w:pPr>
    </w:p>
    <w:p>
      <w:pPr>
        <w:ind w:firstLine="560"/>
        <w:rPr>
          <w:rFonts w:hint="eastAsia" w:ascii="仿宋_GB2312" w:hAnsi="宋体" w:eastAsia="仿宋_GB2312"/>
          <w:sz w:val="32"/>
          <w:szCs w:val="32"/>
        </w:rPr>
      </w:pPr>
    </w:p>
    <w:p>
      <w:pPr>
        <w:autoSpaceDE w:val="0"/>
        <w:autoSpaceDN w:val="0"/>
        <w:adjustRightInd w:val="0"/>
        <w:ind w:left="200"/>
        <w:jc w:val="left"/>
        <w:rPr>
          <w:rFonts w:ascii="宋体" w:eastAsia="宋体" w:cs="宋体"/>
          <w:kern w:val="0"/>
          <w:sz w:val="18"/>
          <w:szCs w:val="18"/>
          <w:lang w:val="zh-CN"/>
        </w:rPr>
      </w:pPr>
    </w:p>
    <w:p>
      <w:pPr>
        <w:autoSpaceDE w:val="0"/>
        <w:autoSpaceDN w:val="0"/>
        <w:adjustRightInd w:val="0"/>
        <w:ind w:firstLine="640" w:firstLineChars="200"/>
        <w:jc w:val="left"/>
        <w:rPr>
          <w:rFonts w:ascii="黑体" w:hAnsi="黑体" w:eastAsia="黑体" w:cs="Times New Roman"/>
          <w:sz w:val="32"/>
          <w:szCs w:val="32"/>
        </w:rPr>
      </w:pPr>
    </w:p>
    <w:p>
      <w:pPr>
        <w:autoSpaceDE w:val="0"/>
        <w:autoSpaceDN w:val="0"/>
        <w:adjustRightInd w:val="0"/>
        <w:ind w:firstLine="640" w:firstLineChars="200"/>
        <w:jc w:val="left"/>
        <w:rPr>
          <w:rFonts w:ascii="黑体" w:hAnsi="黑体" w:eastAsia="黑体" w:cs="Times New Roman"/>
          <w:sz w:val="32"/>
          <w:szCs w:val="32"/>
        </w:rPr>
      </w:pPr>
      <w:r>
        <w:rPr>
          <w:rFonts w:hint="eastAsia" w:ascii="黑体" w:hAnsi="黑体" w:eastAsia="黑体" w:cs="Times New Roman"/>
          <w:sz w:val="32"/>
          <w:szCs w:val="32"/>
        </w:rPr>
        <w:t>六、政府采购预算情况</w:t>
      </w:r>
    </w:p>
    <w:p>
      <w:pPr>
        <w:autoSpaceDE w:val="0"/>
        <w:autoSpaceDN w:val="0"/>
        <w:adjustRightInd w:val="0"/>
        <w:ind w:firstLine="640" w:firstLineChars="200"/>
        <w:jc w:val="left"/>
        <w:rPr>
          <w:rFonts w:hint="eastAsia" w:ascii="仿宋" w:hAnsi="仿宋" w:eastAsia="仿宋" w:cs="仿宋"/>
          <w:sz w:val="32"/>
          <w:szCs w:val="32"/>
        </w:rPr>
      </w:pPr>
      <w:bookmarkStart w:id="1" w:name="_Toc471398468"/>
      <w:r>
        <w:rPr>
          <w:rFonts w:ascii="Times New Roman" w:hAnsi="Times New Roman" w:eastAsia="方正仿宋_GBK" w:cs="Times New Roman"/>
          <w:sz w:val="32"/>
          <w:szCs w:val="24"/>
        </w:rPr>
        <w:t xml:space="preserve">   </w:t>
      </w:r>
      <w:bookmarkEnd w:id="1"/>
    </w:p>
    <w:tbl>
      <w:tblPr>
        <w:tblStyle w:val="12"/>
        <w:tblW w:w="13868" w:type="dxa"/>
        <w:tblInd w:w="0" w:type="dxa"/>
        <w:tblLayout w:type="fixed"/>
        <w:tblCellMar>
          <w:top w:w="15" w:type="dxa"/>
          <w:left w:w="15" w:type="dxa"/>
          <w:bottom w:w="15" w:type="dxa"/>
          <w:right w:w="15" w:type="dxa"/>
        </w:tblCellMar>
      </w:tblPr>
      <w:tblGrid>
        <w:gridCol w:w="1282"/>
        <w:gridCol w:w="1279"/>
        <w:gridCol w:w="1057"/>
        <w:gridCol w:w="1071"/>
        <w:gridCol w:w="736"/>
        <w:gridCol w:w="530"/>
        <w:gridCol w:w="665"/>
        <w:gridCol w:w="879"/>
        <w:gridCol w:w="1069"/>
        <w:gridCol w:w="1060"/>
        <w:gridCol w:w="1069"/>
        <w:gridCol w:w="1057"/>
        <w:gridCol w:w="1057"/>
        <w:gridCol w:w="1057"/>
      </w:tblGrid>
      <w:tr>
        <w:tblPrEx>
          <w:tblLayout w:type="fixed"/>
          <w:tblCellMar>
            <w:top w:w="15" w:type="dxa"/>
            <w:left w:w="15" w:type="dxa"/>
            <w:bottom w:w="15" w:type="dxa"/>
            <w:right w:w="15" w:type="dxa"/>
          </w:tblCellMar>
        </w:tblPrEx>
        <w:trPr>
          <w:trHeight w:val="285" w:hRule="atLeast"/>
        </w:trPr>
        <w:tc>
          <w:tcPr>
            <w:tcW w:w="2561"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方正书宋_GBK" w:hAnsi="方正书宋_GBK" w:eastAsia="方正书宋_GBK" w:cs="方正书宋_GBK"/>
                <w:b/>
                <w:color w:val="000000"/>
                <w:szCs w:val="21"/>
              </w:rPr>
            </w:pPr>
            <w:r>
              <w:rPr>
                <w:rFonts w:hint="eastAsia" w:ascii="方正书宋_GBK" w:hAnsi="方正书宋_GBK" w:eastAsia="方正书宋_GBK" w:cs="方正书宋_GBK"/>
                <w:b/>
                <w:color w:val="000000"/>
                <w:kern w:val="0"/>
                <w:szCs w:val="21"/>
              </w:rPr>
              <w:t>政府采购项目来源</w:t>
            </w:r>
          </w:p>
        </w:tc>
        <w:tc>
          <w:tcPr>
            <w:tcW w:w="1057" w:type="dxa"/>
            <w:vMerge w:val="restart"/>
            <w:tcBorders>
              <w:top w:val="single" w:color="000000" w:sz="4" w:space="0"/>
              <w:bottom w:val="single" w:color="000000" w:sz="4" w:space="0"/>
              <w:right w:val="single" w:color="000000" w:sz="4" w:space="0"/>
            </w:tcBorders>
            <w:vAlign w:val="center"/>
          </w:tcPr>
          <w:p>
            <w:pPr>
              <w:widowControl/>
              <w:jc w:val="center"/>
              <w:textAlignment w:val="center"/>
              <w:rPr>
                <w:rFonts w:hint="eastAsia" w:ascii="方正书宋_GBK" w:hAnsi="方正书宋_GBK" w:eastAsia="方正书宋_GBK" w:cs="方正书宋_GBK"/>
                <w:b/>
                <w:color w:val="000000"/>
                <w:szCs w:val="21"/>
              </w:rPr>
            </w:pPr>
            <w:r>
              <w:rPr>
                <w:rFonts w:hint="eastAsia" w:ascii="方正书宋_GBK" w:hAnsi="方正书宋_GBK" w:eastAsia="方正书宋_GBK" w:cs="方正书宋_GBK"/>
                <w:b/>
                <w:color w:val="000000"/>
                <w:kern w:val="0"/>
                <w:szCs w:val="21"/>
              </w:rPr>
              <w:t>采购物品名称</w:t>
            </w:r>
          </w:p>
        </w:tc>
        <w:tc>
          <w:tcPr>
            <w:tcW w:w="1071" w:type="dxa"/>
            <w:vMerge w:val="restart"/>
            <w:tcBorders>
              <w:top w:val="single" w:color="000000" w:sz="4" w:space="0"/>
              <w:bottom w:val="single" w:color="000000" w:sz="4" w:space="0"/>
              <w:right w:val="single" w:color="000000" w:sz="4" w:space="0"/>
            </w:tcBorders>
            <w:vAlign w:val="center"/>
          </w:tcPr>
          <w:p>
            <w:pPr>
              <w:widowControl/>
              <w:jc w:val="center"/>
              <w:textAlignment w:val="center"/>
              <w:rPr>
                <w:rFonts w:hint="eastAsia" w:ascii="方正书宋_GBK" w:hAnsi="方正书宋_GBK" w:eastAsia="方正书宋_GBK" w:cs="方正书宋_GBK"/>
                <w:b/>
                <w:color w:val="000000"/>
                <w:szCs w:val="21"/>
              </w:rPr>
            </w:pPr>
            <w:r>
              <w:rPr>
                <w:rFonts w:hint="eastAsia" w:ascii="方正书宋_GBK" w:hAnsi="方正书宋_GBK" w:eastAsia="方正书宋_GBK" w:cs="方正书宋_GBK"/>
                <w:b/>
                <w:color w:val="000000"/>
                <w:kern w:val="0"/>
                <w:szCs w:val="21"/>
              </w:rPr>
              <w:t>政府采购目录序号</w:t>
            </w:r>
          </w:p>
        </w:tc>
        <w:tc>
          <w:tcPr>
            <w:tcW w:w="736" w:type="dxa"/>
            <w:vMerge w:val="restart"/>
            <w:tcBorders>
              <w:top w:val="single" w:color="000000" w:sz="4" w:space="0"/>
              <w:bottom w:val="single" w:color="000000" w:sz="4" w:space="0"/>
              <w:right w:val="single" w:color="000000" w:sz="4" w:space="0"/>
            </w:tcBorders>
            <w:vAlign w:val="center"/>
          </w:tcPr>
          <w:p>
            <w:pPr>
              <w:widowControl/>
              <w:jc w:val="center"/>
              <w:textAlignment w:val="center"/>
              <w:rPr>
                <w:rFonts w:hint="eastAsia" w:ascii="方正书宋_GBK" w:hAnsi="方正书宋_GBK" w:eastAsia="方正书宋_GBK" w:cs="方正书宋_GBK"/>
                <w:b/>
                <w:color w:val="000000"/>
                <w:szCs w:val="21"/>
              </w:rPr>
            </w:pPr>
            <w:r>
              <w:rPr>
                <w:rFonts w:hint="eastAsia" w:ascii="方正书宋_GBK" w:hAnsi="方正书宋_GBK" w:eastAsia="方正书宋_GBK" w:cs="方正书宋_GBK"/>
                <w:b/>
                <w:color w:val="000000"/>
                <w:kern w:val="0"/>
                <w:szCs w:val="21"/>
              </w:rPr>
              <w:t>数量  单位</w:t>
            </w:r>
          </w:p>
        </w:tc>
        <w:tc>
          <w:tcPr>
            <w:tcW w:w="530" w:type="dxa"/>
            <w:vMerge w:val="restart"/>
            <w:tcBorders>
              <w:top w:val="single" w:color="000000" w:sz="4" w:space="0"/>
              <w:bottom w:val="single" w:color="000000" w:sz="4" w:space="0"/>
              <w:right w:val="single" w:color="000000" w:sz="4" w:space="0"/>
            </w:tcBorders>
            <w:vAlign w:val="center"/>
          </w:tcPr>
          <w:p>
            <w:pPr>
              <w:widowControl/>
              <w:jc w:val="center"/>
              <w:textAlignment w:val="center"/>
              <w:rPr>
                <w:rFonts w:hint="eastAsia" w:ascii="方正书宋_GBK" w:hAnsi="方正书宋_GBK" w:eastAsia="方正书宋_GBK" w:cs="方正书宋_GBK"/>
                <w:b/>
                <w:color w:val="000000"/>
                <w:szCs w:val="21"/>
              </w:rPr>
            </w:pPr>
            <w:r>
              <w:rPr>
                <w:rFonts w:hint="eastAsia" w:ascii="方正书宋_GBK" w:hAnsi="方正书宋_GBK" w:eastAsia="方正书宋_GBK" w:cs="方正书宋_GBK"/>
                <w:b/>
                <w:color w:val="000000"/>
                <w:kern w:val="0"/>
                <w:szCs w:val="21"/>
              </w:rPr>
              <w:t>数量</w:t>
            </w:r>
          </w:p>
        </w:tc>
        <w:tc>
          <w:tcPr>
            <w:tcW w:w="665" w:type="dxa"/>
            <w:vMerge w:val="restart"/>
            <w:tcBorders>
              <w:top w:val="single" w:color="000000" w:sz="4" w:space="0"/>
              <w:bottom w:val="single" w:color="000000" w:sz="4" w:space="0"/>
              <w:right w:val="single" w:color="000000" w:sz="4" w:space="0"/>
            </w:tcBorders>
            <w:vAlign w:val="center"/>
          </w:tcPr>
          <w:p>
            <w:pPr>
              <w:widowControl/>
              <w:jc w:val="center"/>
              <w:textAlignment w:val="center"/>
              <w:rPr>
                <w:rFonts w:hint="eastAsia" w:ascii="方正书宋_GBK" w:hAnsi="方正书宋_GBK" w:eastAsia="方正书宋_GBK" w:cs="方正书宋_GBK"/>
                <w:b/>
                <w:color w:val="000000"/>
                <w:szCs w:val="21"/>
              </w:rPr>
            </w:pPr>
            <w:r>
              <w:rPr>
                <w:rFonts w:hint="eastAsia" w:ascii="方正书宋_GBK" w:hAnsi="方正书宋_GBK" w:eastAsia="方正书宋_GBK" w:cs="方正书宋_GBK"/>
                <w:b/>
                <w:color w:val="000000"/>
                <w:kern w:val="0"/>
                <w:szCs w:val="21"/>
              </w:rPr>
              <w:t>单价</w:t>
            </w:r>
          </w:p>
        </w:tc>
        <w:tc>
          <w:tcPr>
            <w:tcW w:w="7248" w:type="dxa"/>
            <w:gridSpan w:val="7"/>
            <w:tcBorders>
              <w:top w:val="single" w:color="000000" w:sz="4" w:space="0"/>
              <w:right w:val="single" w:color="000000" w:sz="4" w:space="0"/>
            </w:tcBorders>
            <w:vAlign w:val="center"/>
          </w:tcPr>
          <w:p>
            <w:pPr>
              <w:widowControl/>
              <w:jc w:val="center"/>
              <w:textAlignment w:val="center"/>
              <w:rPr>
                <w:rFonts w:hint="eastAsia" w:ascii="方正书宋_GBK" w:hAnsi="方正书宋_GBK" w:eastAsia="方正书宋_GBK" w:cs="方正书宋_GBK"/>
                <w:b/>
                <w:color w:val="000000"/>
                <w:szCs w:val="21"/>
              </w:rPr>
            </w:pPr>
            <w:r>
              <w:rPr>
                <w:rFonts w:hint="eastAsia" w:ascii="方正书宋_GBK" w:hAnsi="方正书宋_GBK" w:eastAsia="方正书宋_GBK" w:cs="方正书宋_GBK"/>
                <w:b/>
                <w:color w:val="000000"/>
                <w:kern w:val="0"/>
                <w:szCs w:val="21"/>
              </w:rPr>
              <w:t>政府采购金额</w:t>
            </w:r>
          </w:p>
        </w:tc>
      </w:tr>
      <w:tr>
        <w:tblPrEx>
          <w:tblLayout w:type="fixed"/>
          <w:tblCellMar>
            <w:top w:w="15" w:type="dxa"/>
            <w:left w:w="15" w:type="dxa"/>
            <w:bottom w:w="15" w:type="dxa"/>
            <w:right w:w="15" w:type="dxa"/>
          </w:tblCellMar>
        </w:tblPrEx>
        <w:trPr>
          <w:trHeight w:val="285" w:hRule="atLeast"/>
        </w:trPr>
        <w:tc>
          <w:tcPr>
            <w:tcW w:w="1282" w:type="dxa"/>
            <w:vMerge w:val="restart"/>
            <w:tcBorders>
              <w:left w:val="single" w:color="000000" w:sz="4" w:space="0"/>
              <w:bottom w:val="single" w:color="000000" w:sz="4" w:space="0"/>
              <w:right w:val="single" w:color="000000" w:sz="4" w:space="0"/>
            </w:tcBorders>
            <w:vAlign w:val="center"/>
          </w:tcPr>
          <w:p>
            <w:pPr>
              <w:widowControl/>
              <w:jc w:val="center"/>
              <w:textAlignment w:val="center"/>
              <w:rPr>
                <w:rFonts w:hint="eastAsia" w:ascii="方正书宋_GBK" w:hAnsi="方正书宋_GBK" w:eastAsia="方正书宋_GBK" w:cs="方正书宋_GBK"/>
                <w:b/>
                <w:color w:val="000000"/>
                <w:szCs w:val="21"/>
              </w:rPr>
            </w:pPr>
            <w:r>
              <w:rPr>
                <w:rFonts w:hint="eastAsia" w:ascii="方正书宋_GBK" w:hAnsi="方正书宋_GBK" w:eastAsia="方正书宋_GBK" w:cs="方正书宋_GBK"/>
                <w:b/>
                <w:color w:val="000000"/>
                <w:kern w:val="0"/>
                <w:szCs w:val="21"/>
              </w:rPr>
              <w:t>项目名称</w:t>
            </w:r>
          </w:p>
        </w:tc>
        <w:tc>
          <w:tcPr>
            <w:tcW w:w="1279" w:type="dxa"/>
            <w:vMerge w:val="restart"/>
            <w:tcBorders>
              <w:bottom w:val="single" w:color="000000" w:sz="4" w:space="0"/>
              <w:right w:val="single" w:color="000000" w:sz="4" w:space="0"/>
            </w:tcBorders>
            <w:vAlign w:val="center"/>
          </w:tcPr>
          <w:p>
            <w:pPr>
              <w:widowControl/>
              <w:jc w:val="center"/>
              <w:textAlignment w:val="center"/>
              <w:rPr>
                <w:rFonts w:hint="eastAsia" w:ascii="方正书宋_GBK" w:hAnsi="方正书宋_GBK" w:eastAsia="方正书宋_GBK" w:cs="方正书宋_GBK"/>
                <w:b/>
                <w:color w:val="000000"/>
                <w:szCs w:val="21"/>
              </w:rPr>
            </w:pPr>
            <w:r>
              <w:rPr>
                <w:rFonts w:hint="eastAsia" w:ascii="方正书宋_GBK" w:hAnsi="方正书宋_GBK" w:eastAsia="方正书宋_GBK" w:cs="方正书宋_GBK"/>
                <w:b/>
                <w:color w:val="000000"/>
                <w:kern w:val="0"/>
                <w:szCs w:val="21"/>
              </w:rPr>
              <w:t>预算资金</w:t>
            </w:r>
          </w:p>
        </w:tc>
        <w:tc>
          <w:tcPr>
            <w:tcW w:w="1057" w:type="dxa"/>
            <w:vMerge w:val="continue"/>
            <w:tcBorders>
              <w:top w:val="single" w:color="000000" w:sz="4" w:space="0"/>
              <w:bottom w:val="single" w:color="000000" w:sz="4" w:space="0"/>
              <w:right w:val="single" w:color="000000" w:sz="4" w:space="0"/>
            </w:tcBorders>
            <w:vAlign w:val="center"/>
          </w:tcPr>
          <w:p>
            <w:pPr>
              <w:jc w:val="center"/>
              <w:rPr>
                <w:rFonts w:hint="eastAsia" w:ascii="方正书宋_GBK" w:hAnsi="方正书宋_GBK" w:eastAsia="方正书宋_GBK" w:cs="方正书宋_GBK"/>
                <w:b/>
                <w:color w:val="000000"/>
                <w:szCs w:val="21"/>
              </w:rPr>
            </w:pPr>
          </w:p>
        </w:tc>
        <w:tc>
          <w:tcPr>
            <w:tcW w:w="1071" w:type="dxa"/>
            <w:vMerge w:val="continue"/>
            <w:tcBorders>
              <w:top w:val="single" w:color="000000" w:sz="4" w:space="0"/>
              <w:bottom w:val="single" w:color="000000" w:sz="4" w:space="0"/>
              <w:right w:val="single" w:color="000000" w:sz="4" w:space="0"/>
            </w:tcBorders>
            <w:vAlign w:val="center"/>
          </w:tcPr>
          <w:p>
            <w:pPr>
              <w:jc w:val="center"/>
              <w:rPr>
                <w:rFonts w:hint="eastAsia" w:ascii="方正书宋_GBK" w:hAnsi="方正书宋_GBK" w:eastAsia="方正书宋_GBK" w:cs="方正书宋_GBK"/>
                <w:b/>
                <w:color w:val="000000"/>
                <w:szCs w:val="21"/>
              </w:rPr>
            </w:pPr>
          </w:p>
        </w:tc>
        <w:tc>
          <w:tcPr>
            <w:tcW w:w="736" w:type="dxa"/>
            <w:vMerge w:val="continue"/>
            <w:tcBorders>
              <w:top w:val="single" w:color="000000" w:sz="4" w:space="0"/>
              <w:bottom w:val="single" w:color="000000" w:sz="4" w:space="0"/>
              <w:right w:val="single" w:color="000000" w:sz="4" w:space="0"/>
            </w:tcBorders>
            <w:vAlign w:val="center"/>
          </w:tcPr>
          <w:p>
            <w:pPr>
              <w:jc w:val="center"/>
              <w:rPr>
                <w:rFonts w:hint="eastAsia" w:ascii="方正书宋_GBK" w:hAnsi="方正书宋_GBK" w:eastAsia="方正书宋_GBK" w:cs="方正书宋_GBK"/>
                <w:b/>
                <w:color w:val="000000"/>
                <w:szCs w:val="21"/>
              </w:rPr>
            </w:pPr>
          </w:p>
        </w:tc>
        <w:tc>
          <w:tcPr>
            <w:tcW w:w="530" w:type="dxa"/>
            <w:vMerge w:val="continue"/>
            <w:tcBorders>
              <w:top w:val="single" w:color="000000" w:sz="4" w:space="0"/>
              <w:bottom w:val="single" w:color="000000" w:sz="4" w:space="0"/>
              <w:right w:val="single" w:color="000000" w:sz="4" w:space="0"/>
            </w:tcBorders>
            <w:vAlign w:val="center"/>
          </w:tcPr>
          <w:p>
            <w:pPr>
              <w:jc w:val="center"/>
              <w:rPr>
                <w:rFonts w:hint="eastAsia" w:ascii="方正书宋_GBK" w:hAnsi="方正书宋_GBK" w:eastAsia="方正书宋_GBK" w:cs="方正书宋_GBK"/>
                <w:b/>
                <w:color w:val="000000"/>
                <w:szCs w:val="21"/>
              </w:rPr>
            </w:pPr>
          </w:p>
        </w:tc>
        <w:tc>
          <w:tcPr>
            <w:tcW w:w="665" w:type="dxa"/>
            <w:vMerge w:val="continue"/>
            <w:tcBorders>
              <w:top w:val="single" w:color="000000" w:sz="4" w:space="0"/>
              <w:bottom w:val="single" w:color="000000" w:sz="4" w:space="0"/>
              <w:right w:val="single" w:color="000000" w:sz="4" w:space="0"/>
            </w:tcBorders>
            <w:vAlign w:val="center"/>
          </w:tcPr>
          <w:p>
            <w:pPr>
              <w:jc w:val="center"/>
              <w:rPr>
                <w:rFonts w:hint="eastAsia" w:ascii="方正书宋_GBK" w:hAnsi="方正书宋_GBK" w:eastAsia="方正书宋_GBK" w:cs="方正书宋_GBK"/>
                <w:b/>
                <w:color w:val="000000"/>
                <w:szCs w:val="21"/>
              </w:rPr>
            </w:pPr>
          </w:p>
        </w:tc>
        <w:tc>
          <w:tcPr>
            <w:tcW w:w="879" w:type="dxa"/>
            <w:vMerge w:val="restart"/>
            <w:tcBorders>
              <w:top w:val="single" w:color="000000" w:sz="4" w:space="0"/>
              <w:bottom w:val="single" w:color="000000" w:sz="4" w:space="0"/>
              <w:right w:val="single" w:color="000000" w:sz="4" w:space="0"/>
            </w:tcBorders>
            <w:vAlign w:val="center"/>
          </w:tcPr>
          <w:p>
            <w:pPr>
              <w:widowControl/>
              <w:jc w:val="center"/>
              <w:textAlignment w:val="center"/>
              <w:rPr>
                <w:rFonts w:hint="eastAsia" w:ascii="方正书宋_GBK" w:hAnsi="方正书宋_GBK" w:eastAsia="方正书宋_GBK" w:cs="方正书宋_GBK"/>
                <w:b/>
                <w:color w:val="000000"/>
                <w:szCs w:val="21"/>
              </w:rPr>
            </w:pPr>
            <w:r>
              <w:rPr>
                <w:rFonts w:hint="eastAsia" w:ascii="方正书宋_GBK" w:hAnsi="方正书宋_GBK" w:eastAsia="方正书宋_GBK" w:cs="方正书宋_GBK"/>
                <w:b/>
                <w:color w:val="000000"/>
                <w:kern w:val="0"/>
                <w:szCs w:val="21"/>
              </w:rPr>
              <w:t>总计</w:t>
            </w:r>
          </w:p>
        </w:tc>
        <w:tc>
          <w:tcPr>
            <w:tcW w:w="5312" w:type="dxa"/>
            <w:gridSpan w:val="5"/>
            <w:tcBorders>
              <w:top w:val="single" w:color="000000" w:sz="4" w:space="0"/>
              <w:bottom w:val="single" w:color="000000" w:sz="4" w:space="0"/>
              <w:right w:val="single" w:color="000000" w:sz="4" w:space="0"/>
            </w:tcBorders>
            <w:vAlign w:val="center"/>
          </w:tcPr>
          <w:p>
            <w:pPr>
              <w:widowControl/>
              <w:jc w:val="center"/>
              <w:textAlignment w:val="center"/>
              <w:rPr>
                <w:rFonts w:hint="eastAsia" w:ascii="方正书宋_GBK" w:hAnsi="方正书宋_GBK" w:eastAsia="方正书宋_GBK" w:cs="方正书宋_GBK"/>
                <w:b/>
                <w:color w:val="000000"/>
                <w:szCs w:val="21"/>
              </w:rPr>
            </w:pPr>
            <w:r>
              <w:rPr>
                <w:rFonts w:hint="eastAsia" w:ascii="方正书宋_GBK" w:hAnsi="方正书宋_GBK" w:eastAsia="方正书宋_GBK" w:cs="方正书宋_GBK"/>
                <w:b/>
                <w:color w:val="000000"/>
                <w:kern w:val="0"/>
                <w:szCs w:val="21"/>
              </w:rPr>
              <w:t>当年部门预算安排资金</w:t>
            </w:r>
          </w:p>
        </w:tc>
        <w:tc>
          <w:tcPr>
            <w:tcW w:w="1057" w:type="dxa"/>
            <w:vMerge w:val="restart"/>
            <w:tcBorders>
              <w:top w:val="single" w:color="000000" w:sz="4" w:space="0"/>
              <w:bottom w:val="single" w:color="000000" w:sz="4" w:space="0"/>
              <w:right w:val="single" w:color="000000" w:sz="4" w:space="0"/>
            </w:tcBorders>
            <w:vAlign w:val="center"/>
          </w:tcPr>
          <w:p>
            <w:pPr>
              <w:widowControl/>
              <w:jc w:val="center"/>
              <w:textAlignment w:val="center"/>
              <w:rPr>
                <w:rFonts w:hint="eastAsia" w:ascii="方正书宋_GBK" w:hAnsi="方正书宋_GBK" w:eastAsia="方正书宋_GBK" w:cs="方正书宋_GBK"/>
                <w:b/>
                <w:color w:val="000000"/>
                <w:szCs w:val="21"/>
              </w:rPr>
            </w:pPr>
            <w:r>
              <w:rPr>
                <w:rFonts w:hint="eastAsia" w:ascii="方正书宋_GBK" w:hAnsi="方正书宋_GBK" w:eastAsia="方正书宋_GBK" w:cs="方正书宋_GBK"/>
                <w:b/>
                <w:color w:val="000000"/>
                <w:kern w:val="0"/>
                <w:szCs w:val="21"/>
              </w:rPr>
              <w:t>其他渠道资金</w:t>
            </w:r>
          </w:p>
        </w:tc>
      </w:tr>
      <w:tr>
        <w:tblPrEx>
          <w:tblLayout w:type="fixed"/>
          <w:tblCellMar>
            <w:top w:w="15" w:type="dxa"/>
            <w:left w:w="15" w:type="dxa"/>
            <w:bottom w:w="15" w:type="dxa"/>
            <w:right w:w="15" w:type="dxa"/>
          </w:tblCellMar>
        </w:tblPrEx>
        <w:trPr>
          <w:trHeight w:val="510" w:hRule="atLeast"/>
        </w:trPr>
        <w:tc>
          <w:tcPr>
            <w:tcW w:w="1282" w:type="dxa"/>
            <w:vMerge w:val="continue"/>
            <w:tcBorders>
              <w:left w:val="single" w:color="000000" w:sz="4" w:space="0"/>
              <w:bottom w:val="single" w:color="000000" w:sz="4" w:space="0"/>
              <w:right w:val="single" w:color="000000" w:sz="4" w:space="0"/>
            </w:tcBorders>
            <w:vAlign w:val="center"/>
          </w:tcPr>
          <w:p>
            <w:pPr>
              <w:jc w:val="center"/>
              <w:rPr>
                <w:rFonts w:hint="eastAsia" w:ascii="方正书宋_GBK" w:hAnsi="方正书宋_GBK" w:eastAsia="方正书宋_GBK" w:cs="方正书宋_GBK"/>
                <w:b/>
                <w:color w:val="000000"/>
                <w:szCs w:val="21"/>
              </w:rPr>
            </w:pPr>
          </w:p>
        </w:tc>
        <w:tc>
          <w:tcPr>
            <w:tcW w:w="1279" w:type="dxa"/>
            <w:vMerge w:val="continue"/>
            <w:tcBorders>
              <w:bottom w:val="single" w:color="000000" w:sz="4" w:space="0"/>
              <w:right w:val="single" w:color="000000" w:sz="4" w:space="0"/>
            </w:tcBorders>
            <w:vAlign w:val="center"/>
          </w:tcPr>
          <w:p>
            <w:pPr>
              <w:jc w:val="center"/>
              <w:rPr>
                <w:rFonts w:hint="eastAsia" w:ascii="方正书宋_GBK" w:hAnsi="方正书宋_GBK" w:eastAsia="方正书宋_GBK" w:cs="方正书宋_GBK"/>
                <w:b/>
                <w:color w:val="000000"/>
                <w:szCs w:val="21"/>
              </w:rPr>
            </w:pPr>
          </w:p>
        </w:tc>
        <w:tc>
          <w:tcPr>
            <w:tcW w:w="1057" w:type="dxa"/>
            <w:vMerge w:val="continue"/>
            <w:tcBorders>
              <w:top w:val="single" w:color="000000" w:sz="4" w:space="0"/>
              <w:bottom w:val="single" w:color="000000" w:sz="4" w:space="0"/>
              <w:right w:val="single" w:color="000000" w:sz="4" w:space="0"/>
            </w:tcBorders>
            <w:vAlign w:val="center"/>
          </w:tcPr>
          <w:p>
            <w:pPr>
              <w:jc w:val="center"/>
              <w:rPr>
                <w:rFonts w:hint="eastAsia" w:ascii="方正书宋_GBK" w:hAnsi="方正书宋_GBK" w:eastAsia="方正书宋_GBK" w:cs="方正书宋_GBK"/>
                <w:b/>
                <w:color w:val="000000"/>
                <w:szCs w:val="21"/>
              </w:rPr>
            </w:pPr>
          </w:p>
        </w:tc>
        <w:tc>
          <w:tcPr>
            <w:tcW w:w="1071" w:type="dxa"/>
            <w:vMerge w:val="continue"/>
            <w:tcBorders>
              <w:top w:val="single" w:color="000000" w:sz="4" w:space="0"/>
              <w:bottom w:val="single" w:color="000000" w:sz="4" w:space="0"/>
              <w:right w:val="single" w:color="000000" w:sz="4" w:space="0"/>
            </w:tcBorders>
            <w:vAlign w:val="center"/>
          </w:tcPr>
          <w:p>
            <w:pPr>
              <w:jc w:val="center"/>
              <w:rPr>
                <w:rFonts w:hint="eastAsia" w:ascii="方正书宋_GBK" w:hAnsi="方正书宋_GBK" w:eastAsia="方正书宋_GBK" w:cs="方正书宋_GBK"/>
                <w:b/>
                <w:color w:val="000000"/>
                <w:szCs w:val="21"/>
              </w:rPr>
            </w:pPr>
          </w:p>
        </w:tc>
        <w:tc>
          <w:tcPr>
            <w:tcW w:w="736" w:type="dxa"/>
            <w:vMerge w:val="continue"/>
            <w:tcBorders>
              <w:top w:val="single" w:color="000000" w:sz="4" w:space="0"/>
              <w:bottom w:val="single" w:color="000000" w:sz="4" w:space="0"/>
              <w:right w:val="single" w:color="000000" w:sz="4" w:space="0"/>
            </w:tcBorders>
            <w:vAlign w:val="center"/>
          </w:tcPr>
          <w:p>
            <w:pPr>
              <w:jc w:val="center"/>
              <w:rPr>
                <w:rFonts w:hint="eastAsia" w:ascii="方正书宋_GBK" w:hAnsi="方正书宋_GBK" w:eastAsia="方正书宋_GBK" w:cs="方正书宋_GBK"/>
                <w:b/>
                <w:color w:val="000000"/>
                <w:szCs w:val="21"/>
              </w:rPr>
            </w:pPr>
          </w:p>
        </w:tc>
        <w:tc>
          <w:tcPr>
            <w:tcW w:w="530" w:type="dxa"/>
            <w:vMerge w:val="continue"/>
            <w:tcBorders>
              <w:top w:val="single" w:color="000000" w:sz="4" w:space="0"/>
              <w:bottom w:val="single" w:color="000000" w:sz="4" w:space="0"/>
              <w:right w:val="single" w:color="000000" w:sz="4" w:space="0"/>
            </w:tcBorders>
            <w:vAlign w:val="center"/>
          </w:tcPr>
          <w:p>
            <w:pPr>
              <w:jc w:val="center"/>
              <w:rPr>
                <w:rFonts w:hint="eastAsia" w:ascii="方正书宋_GBK" w:hAnsi="方正书宋_GBK" w:eastAsia="方正书宋_GBK" w:cs="方正书宋_GBK"/>
                <w:b/>
                <w:color w:val="000000"/>
                <w:szCs w:val="21"/>
              </w:rPr>
            </w:pPr>
          </w:p>
        </w:tc>
        <w:tc>
          <w:tcPr>
            <w:tcW w:w="665" w:type="dxa"/>
            <w:vMerge w:val="continue"/>
            <w:tcBorders>
              <w:top w:val="single" w:color="000000" w:sz="4" w:space="0"/>
              <w:bottom w:val="single" w:color="000000" w:sz="4" w:space="0"/>
              <w:right w:val="single" w:color="000000" w:sz="4" w:space="0"/>
            </w:tcBorders>
            <w:vAlign w:val="center"/>
          </w:tcPr>
          <w:p>
            <w:pPr>
              <w:jc w:val="center"/>
              <w:rPr>
                <w:rFonts w:hint="eastAsia" w:ascii="方正书宋_GBK" w:hAnsi="方正书宋_GBK" w:eastAsia="方正书宋_GBK" w:cs="方正书宋_GBK"/>
                <w:b/>
                <w:color w:val="000000"/>
                <w:szCs w:val="21"/>
              </w:rPr>
            </w:pPr>
          </w:p>
        </w:tc>
        <w:tc>
          <w:tcPr>
            <w:tcW w:w="879" w:type="dxa"/>
            <w:vMerge w:val="continue"/>
            <w:tcBorders>
              <w:top w:val="single" w:color="000000" w:sz="4" w:space="0"/>
              <w:bottom w:val="single" w:color="000000" w:sz="4" w:space="0"/>
              <w:right w:val="single" w:color="000000" w:sz="4" w:space="0"/>
            </w:tcBorders>
            <w:vAlign w:val="center"/>
          </w:tcPr>
          <w:p>
            <w:pPr>
              <w:jc w:val="center"/>
              <w:rPr>
                <w:rFonts w:hint="eastAsia" w:ascii="方正书宋_GBK" w:hAnsi="方正书宋_GBK" w:eastAsia="方正书宋_GBK" w:cs="方正书宋_GBK"/>
                <w:b/>
                <w:color w:val="000000"/>
                <w:szCs w:val="21"/>
              </w:rPr>
            </w:pPr>
          </w:p>
        </w:tc>
        <w:tc>
          <w:tcPr>
            <w:tcW w:w="1069" w:type="dxa"/>
            <w:tcBorders>
              <w:bottom w:val="single" w:color="000000" w:sz="4" w:space="0"/>
              <w:right w:val="single" w:color="000000" w:sz="4" w:space="0"/>
            </w:tcBorders>
            <w:vAlign w:val="center"/>
          </w:tcPr>
          <w:p>
            <w:pPr>
              <w:widowControl/>
              <w:jc w:val="center"/>
              <w:textAlignment w:val="center"/>
              <w:rPr>
                <w:rFonts w:hint="eastAsia" w:ascii="方正书宋_GBK" w:hAnsi="方正书宋_GBK" w:eastAsia="方正书宋_GBK" w:cs="方正书宋_GBK"/>
                <w:b/>
                <w:color w:val="000000"/>
                <w:szCs w:val="21"/>
              </w:rPr>
            </w:pPr>
            <w:r>
              <w:rPr>
                <w:rFonts w:hint="eastAsia" w:ascii="方正书宋_GBK" w:hAnsi="方正书宋_GBK" w:eastAsia="方正书宋_GBK" w:cs="方正书宋_GBK"/>
                <w:b/>
                <w:color w:val="000000"/>
                <w:kern w:val="0"/>
                <w:szCs w:val="21"/>
              </w:rPr>
              <w:t>合计</w:t>
            </w:r>
          </w:p>
        </w:tc>
        <w:tc>
          <w:tcPr>
            <w:tcW w:w="1060" w:type="dxa"/>
            <w:tcBorders>
              <w:bottom w:val="single" w:color="000000" w:sz="4" w:space="0"/>
              <w:right w:val="single" w:color="000000" w:sz="4" w:space="0"/>
            </w:tcBorders>
            <w:vAlign w:val="center"/>
          </w:tcPr>
          <w:p>
            <w:pPr>
              <w:widowControl/>
              <w:jc w:val="center"/>
              <w:textAlignment w:val="center"/>
              <w:rPr>
                <w:rFonts w:hint="eastAsia" w:ascii="方正书宋_GBK" w:hAnsi="方正书宋_GBK" w:eastAsia="方正书宋_GBK" w:cs="方正书宋_GBK"/>
                <w:b/>
                <w:color w:val="000000"/>
                <w:szCs w:val="21"/>
              </w:rPr>
            </w:pPr>
            <w:r>
              <w:rPr>
                <w:rFonts w:hint="eastAsia" w:ascii="方正书宋_GBK" w:hAnsi="方正书宋_GBK" w:eastAsia="方正书宋_GBK" w:cs="方正书宋_GBK"/>
                <w:b/>
                <w:color w:val="000000"/>
                <w:kern w:val="0"/>
                <w:szCs w:val="21"/>
              </w:rPr>
              <w:t>一般公共预算拨款</w:t>
            </w:r>
          </w:p>
        </w:tc>
        <w:tc>
          <w:tcPr>
            <w:tcW w:w="1069" w:type="dxa"/>
            <w:tcBorders>
              <w:top w:val="single" w:color="000000" w:sz="4" w:space="0"/>
              <w:bottom w:val="single" w:color="000000" w:sz="4" w:space="0"/>
              <w:right w:val="single" w:color="000000" w:sz="4" w:space="0"/>
            </w:tcBorders>
            <w:vAlign w:val="center"/>
          </w:tcPr>
          <w:p>
            <w:pPr>
              <w:widowControl/>
              <w:jc w:val="center"/>
              <w:textAlignment w:val="center"/>
              <w:rPr>
                <w:rFonts w:hint="eastAsia" w:ascii="方正书宋_GBK" w:hAnsi="方正书宋_GBK" w:eastAsia="方正书宋_GBK" w:cs="方正书宋_GBK"/>
                <w:b/>
                <w:color w:val="000000"/>
                <w:szCs w:val="21"/>
              </w:rPr>
            </w:pPr>
            <w:r>
              <w:rPr>
                <w:rFonts w:hint="eastAsia" w:ascii="方正书宋_GBK" w:hAnsi="方正书宋_GBK" w:eastAsia="方正书宋_GBK" w:cs="方正书宋_GBK"/>
                <w:b/>
                <w:color w:val="000000"/>
                <w:kern w:val="0"/>
                <w:szCs w:val="21"/>
              </w:rPr>
              <w:t>基金预算拨款</w:t>
            </w:r>
          </w:p>
        </w:tc>
        <w:tc>
          <w:tcPr>
            <w:tcW w:w="1057" w:type="dxa"/>
            <w:tcBorders>
              <w:top w:val="single" w:color="000000" w:sz="4" w:space="0"/>
              <w:bottom w:val="single" w:color="000000" w:sz="4" w:space="0"/>
              <w:right w:val="single" w:color="000000" w:sz="4" w:space="0"/>
            </w:tcBorders>
            <w:vAlign w:val="center"/>
          </w:tcPr>
          <w:p>
            <w:pPr>
              <w:widowControl/>
              <w:jc w:val="center"/>
              <w:textAlignment w:val="center"/>
              <w:rPr>
                <w:rFonts w:hint="eastAsia" w:ascii="方正书宋_GBK" w:hAnsi="方正书宋_GBK" w:eastAsia="方正书宋_GBK" w:cs="方正书宋_GBK"/>
                <w:b/>
                <w:color w:val="000000"/>
                <w:szCs w:val="21"/>
              </w:rPr>
            </w:pPr>
            <w:r>
              <w:rPr>
                <w:rFonts w:hint="eastAsia" w:ascii="方正书宋_GBK" w:hAnsi="方正书宋_GBK" w:eastAsia="方正书宋_GBK" w:cs="方正书宋_GBK"/>
                <w:b/>
                <w:color w:val="000000"/>
                <w:kern w:val="0"/>
                <w:szCs w:val="21"/>
              </w:rPr>
              <w:t>财政专户核拨</w:t>
            </w:r>
          </w:p>
        </w:tc>
        <w:tc>
          <w:tcPr>
            <w:tcW w:w="1057" w:type="dxa"/>
            <w:tcBorders>
              <w:top w:val="single" w:color="000000" w:sz="4" w:space="0"/>
              <w:bottom w:val="single" w:color="000000" w:sz="4" w:space="0"/>
              <w:right w:val="single" w:color="000000" w:sz="4" w:space="0"/>
            </w:tcBorders>
            <w:vAlign w:val="center"/>
          </w:tcPr>
          <w:p>
            <w:pPr>
              <w:widowControl/>
              <w:jc w:val="center"/>
              <w:textAlignment w:val="center"/>
              <w:rPr>
                <w:rFonts w:hint="eastAsia" w:ascii="方正书宋_GBK" w:hAnsi="方正书宋_GBK" w:eastAsia="方正书宋_GBK" w:cs="方正书宋_GBK"/>
                <w:b/>
                <w:color w:val="000000"/>
                <w:szCs w:val="21"/>
              </w:rPr>
            </w:pPr>
            <w:r>
              <w:rPr>
                <w:rFonts w:hint="eastAsia" w:ascii="方正书宋_GBK" w:hAnsi="方正书宋_GBK" w:eastAsia="方正书宋_GBK" w:cs="方正书宋_GBK"/>
                <w:b/>
                <w:color w:val="000000"/>
                <w:kern w:val="0"/>
                <w:szCs w:val="21"/>
              </w:rPr>
              <w:t>其他来源收入</w:t>
            </w:r>
          </w:p>
        </w:tc>
        <w:tc>
          <w:tcPr>
            <w:tcW w:w="1057" w:type="dxa"/>
            <w:vMerge w:val="continue"/>
            <w:tcBorders>
              <w:top w:val="single" w:color="000000" w:sz="4" w:space="0"/>
              <w:bottom w:val="single" w:color="000000" w:sz="4" w:space="0"/>
              <w:right w:val="single" w:color="000000" w:sz="4" w:space="0"/>
            </w:tcBorders>
            <w:vAlign w:val="center"/>
          </w:tcPr>
          <w:p>
            <w:pPr>
              <w:jc w:val="center"/>
              <w:rPr>
                <w:rFonts w:hint="eastAsia" w:ascii="方正书宋_GBK" w:hAnsi="方正书宋_GBK" w:eastAsia="方正书宋_GBK" w:cs="方正书宋_GBK"/>
                <w:b/>
                <w:color w:val="000000"/>
                <w:szCs w:val="21"/>
              </w:rPr>
            </w:pPr>
          </w:p>
        </w:tc>
      </w:tr>
      <w:tr>
        <w:tblPrEx>
          <w:tblLayout w:type="fixed"/>
          <w:tblCellMar>
            <w:top w:w="15" w:type="dxa"/>
            <w:left w:w="15" w:type="dxa"/>
            <w:bottom w:w="15" w:type="dxa"/>
            <w:right w:w="15" w:type="dxa"/>
          </w:tblCellMar>
        </w:tblPrEx>
        <w:trPr>
          <w:trHeight w:val="285" w:hRule="atLeast"/>
        </w:trPr>
        <w:tc>
          <w:tcPr>
            <w:tcW w:w="12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方正书宋_GBK" w:hAnsi="方正书宋_GBK" w:eastAsia="方正书宋_GBK" w:cs="方正书宋_GBK"/>
                <w:b/>
                <w:color w:val="000000"/>
                <w:szCs w:val="21"/>
              </w:rPr>
            </w:pPr>
            <w:r>
              <w:rPr>
                <w:rFonts w:hint="eastAsia" w:ascii="方正书宋_GBK" w:hAnsi="方正书宋_GBK" w:eastAsia="方正书宋_GBK" w:cs="方正书宋_GBK"/>
                <w:b/>
                <w:color w:val="000000"/>
                <w:kern w:val="0"/>
                <w:szCs w:val="21"/>
              </w:rPr>
              <w:t>合　计</w:t>
            </w:r>
          </w:p>
        </w:tc>
        <w:tc>
          <w:tcPr>
            <w:tcW w:w="1279" w:type="dxa"/>
            <w:tcBorders>
              <w:top w:val="single" w:color="000000" w:sz="4" w:space="0"/>
              <w:bottom w:val="single" w:color="000000" w:sz="4" w:space="0"/>
              <w:right w:val="single" w:color="000000" w:sz="4" w:space="0"/>
            </w:tcBorders>
            <w:vAlign w:val="center"/>
          </w:tcPr>
          <w:p>
            <w:pPr>
              <w:jc w:val="right"/>
              <w:rPr>
                <w:rFonts w:hint="eastAsia" w:ascii="方正书宋_GBK" w:hAnsi="方正书宋_GBK" w:eastAsia="方正书宋_GBK" w:cs="方正书宋_GBK"/>
                <w:b/>
                <w:color w:val="000000"/>
                <w:szCs w:val="21"/>
              </w:rPr>
            </w:pPr>
          </w:p>
        </w:tc>
        <w:tc>
          <w:tcPr>
            <w:tcW w:w="1057" w:type="dxa"/>
            <w:tcBorders>
              <w:top w:val="single" w:color="000000" w:sz="4" w:space="0"/>
              <w:bottom w:val="single" w:color="000000" w:sz="4" w:space="0"/>
              <w:right w:val="single" w:color="000000" w:sz="4" w:space="0"/>
            </w:tcBorders>
            <w:vAlign w:val="center"/>
          </w:tcPr>
          <w:p>
            <w:pPr>
              <w:jc w:val="left"/>
              <w:rPr>
                <w:rFonts w:hint="eastAsia" w:ascii="方正书宋_GBK" w:hAnsi="方正书宋_GBK" w:eastAsia="方正书宋_GBK" w:cs="方正书宋_GBK"/>
                <w:b/>
                <w:color w:val="000000"/>
                <w:szCs w:val="21"/>
              </w:rPr>
            </w:pPr>
          </w:p>
        </w:tc>
        <w:tc>
          <w:tcPr>
            <w:tcW w:w="1071" w:type="dxa"/>
            <w:tcBorders>
              <w:top w:val="single" w:color="000000" w:sz="4" w:space="0"/>
              <w:bottom w:val="single" w:color="000000" w:sz="4" w:space="0"/>
              <w:right w:val="single" w:color="000000" w:sz="4" w:space="0"/>
            </w:tcBorders>
            <w:vAlign w:val="center"/>
          </w:tcPr>
          <w:p>
            <w:pPr>
              <w:jc w:val="left"/>
              <w:rPr>
                <w:rFonts w:hint="eastAsia" w:ascii="方正书宋_GBK" w:hAnsi="方正书宋_GBK" w:eastAsia="方正书宋_GBK" w:cs="方正书宋_GBK"/>
                <w:b/>
                <w:color w:val="000000"/>
                <w:szCs w:val="21"/>
              </w:rPr>
            </w:pPr>
          </w:p>
        </w:tc>
        <w:tc>
          <w:tcPr>
            <w:tcW w:w="736" w:type="dxa"/>
            <w:tcBorders>
              <w:top w:val="single" w:color="000000" w:sz="4" w:space="0"/>
              <w:bottom w:val="single" w:color="000000" w:sz="4" w:space="0"/>
              <w:right w:val="single" w:color="000000" w:sz="4" w:space="0"/>
            </w:tcBorders>
            <w:vAlign w:val="center"/>
          </w:tcPr>
          <w:p>
            <w:pPr>
              <w:jc w:val="left"/>
              <w:rPr>
                <w:rFonts w:hint="eastAsia" w:ascii="方正书宋_GBK" w:hAnsi="方正书宋_GBK" w:eastAsia="方正书宋_GBK" w:cs="方正书宋_GBK"/>
                <w:b/>
                <w:color w:val="000000"/>
                <w:szCs w:val="21"/>
              </w:rPr>
            </w:pPr>
          </w:p>
        </w:tc>
        <w:tc>
          <w:tcPr>
            <w:tcW w:w="530" w:type="dxa"/>
            <w:tcBorders>
              <w:top w:val="single" w:color="000000" w:sz="4" w:space="0"/>
              <w:bottom w:val="single" w:color="000000" w:sz="4" w:space="0"/>
              <w:right w:val="single" w:color="000000" w:sz="4" w:space="0"/>
            </w:tcBorders>
            <w:vAlign w:val="center"/>
          </w:tcPr>
          <w:p>
            <w:pPr>
              <w:jc w:val="right"/>
              <w:rPr>
                <w:rFonts w:hint="eastAsia" w:ascii="方正书宋_GBK" w:hAnsi="方正书宋_GBK" w:eastAsia="方正书宋_GBK" w:cs="方正书宋_GBK"/>
                <w:b/>
                <w:color w:val="000000"/>
                <w:szCs w:val="21"/>
              </w:rPr>
            </w:pPr>
          </w:p>
        </w:tc>
        <w:tc>
          <w:tcPr>
            <w:tcW w:w="665" w:type="dxa"/>
            <w:tcBorders>
              <w:top w:val="single" w:color="000000" w:sz="4" w:space="0"/>
              <w:bottom w:val="single" w:color="000000" w:sz="4" w:space="0"/>
              <w:right w:val="single" w:color="000000" w:sz="4" w:space="0"/>
            </w:tcBorders>
            <w:vAlign w:val="center"/>
          </w:tcPr>
          <w:p>
            <w:pPr>
              <w:jc w:val="right"/>
              <w:rPr>
                <w:rFonts w:hint="eastAsia" w:ascii="方正书宋_GBK" w:hAnsi="方正书宋_GBK" w:eastAsia="方正书宋_GBK" w:cs="方正书宋_GBK"/>
                <w:b/>
                <w:color w:val="000000"/>
                <w:szCs w:val="21"/>
              </w:rPr>
            </w:pPr>
          </w:p>
        </w:tc>
        <w:tc>
          <w:tcPr>
            <w:tcW w:w="879" w:type="dxa"/>
            <w:tcBorders>
              <w:top w:val="single" w:color="000000" w:sz="4" w:space="0"/>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b/>
                <w:color w:val="000000"/>
                <w:szCs w:val="21"/>
              </w:rPr>
            </w:pPr>
          </w:p>
        </w:tc>
        <w:tc>
          <w:tcPr>
            <w:tcW w:w="1069" w:type="dxa"/>
            <w:tcBorders>
              <w:top w:val="single" w:color="000000" w:sz="4" w:space="0"/>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b/>
                <w:color w:val="000000"/>
                <w:szCs w:val="21"/>
              </w:rPr>
            </w:pPr>
          </w:p>
        </w:tc>
        <w:tc>
          <w:tcPr>
            <w:tcW w:w="1060" w:type="dxa"/>
            <w:tcBorders>
              <w:top w:val="single" w:color="000000" w:sz="4" w:space="0"/>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b/>
                <w:color w:val="000000"/>
                <w:szCs w:val="21"/>
              </w:rPr>
            </w:pPr>
          </w:p>
        </w:tc>
        <w:tc>
          <w:tcPr>
            <w:tcW w:w="1069" w:type="dxa"/>
            <w:tcBorders>
              <w:top w:val="single" w:color="000000" w:sz="4" w:space="0"/>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b/>
                <w:color w:val="000000"/>
                <w:szCs w:val="21"/>
              </w:rPr>
            </w:pPr>
          </w:p>
        </w:tc>
        <w:tc>
          <w:tcPr>
            <w:tcW w:w="1057" w:type="dxa"/>
            <w:tcBorders>
              <w:top w:val="single" w:color="000000" w:sz="4" w:space="0"/>
              <w:bottom w:val="single" w:color="000000" w:sz="4" w:space="0"/>
              <w:right w:val="single" w:color="000000" w:sz="4" w:space="0"/>
            </w:tcBorders>
            <w:vAlign w:val="center"/>
          </w:tcPr>
          <w:p>
            <w:pPr>
              <w:jc w:val="right"/>
              <w:rPr>
                <w:rFonts w:hint="eastAsia" w:ascii="方正书宋_GBK" w:hAnsi="方正书宋_GBK" w:eastAsia="方正书宋_GBK" w:cs="方正书宋_GBK"/>
                <w:b/>
                <w:color w:val="000000"/>
                <w:szCs w:val="21"/>
              </w:rPr>
            </w:pPr>
          </w:p>
        </w:tc>
        <w:tc>
          <w:tcPr>
            <w:tcW w:w="1057" w:type="dxa"/>
            <w:tcBorders>
              <w:top w:val="single" w:color="000000" w:sz="4" w:space="0"/>
              <w:bottom w:val="single" w:color="000000" w:sz="4" w:space="0"/>
              <w:right w:val="single" w:color="000000" w:sz="4" w:space="0"/>
            </w:tcBorders>
            <w:vAlign w:val="center"/>
          </w:tcPr>
          <w:p>
            <w:pPr>
              <w:jc w:val="right"/>
              <w:rPr>
                <w:rFonts w:hint="eastAsia" w:ascii="方正书宋_GBK" w:hAnsi="方正书宋_GBK" w:eastAsia="方正书宋_GBK" w:cs="方正书宋_GBK"/>
                <w:b/>
                <w:color w:val="000000"/>
                <w:szCs w:val="21"/>
              </w:rPr>
            </w:pPr>
          </w:p>
        </w:tc>
        <w:tc>
          <w:tcPr>
            <w:tcW w:w="1057" w:type="dxa"/>
            <w:tcBorders>
              <w:top w:val="single" w:color="000000" w:sz="4" w:space="0"/>
              <w:bottom w:val="single" w:color="000000" w:sz="4" w:space="0"/>
              <w:right w:val="single" w:color="000000" w:sz="4" w:space="0"/>
            </w:tcBorders>
            <w:vAlign w:val="center"/>
          </w:tcPr>
          <w:p>
            <w:pPr>
              <w:jc w:val="right"/>
              <w:rPr>
                <w:rFonts w:hint="eastAsia" w:ascii="方正书宋_GBK" w:hAnsi="方正书宋_GBK" w:eastAsia="方正书宋_GBK" w:cs="方正书宋_GBK"/>
                <w:b/>
                <w:color w:val="000000"/>
                <w:szCs w:val="21"/>
              </w:rPr>
            </w:pPr>
          </w:p>
        </w:tc>
      </w:tr>
      <w:tr>
        <w:tblPrEx>
          <w:tblLayout w:type="fixed"/>
          <w:tblCellMar>
            <w:top w:w="15" w:type="dxa"/>
            <w:left w:w="15" w:type="dxa"/>
            <w:bottom w:w="15" w:type="dxa"/>
            <w:right w:w="15" w:type="dxa"/>
          </w:tblCellMar>
        </w:tblPrEx>
        <w:trPr>
          <w:trHeight w:val="765" w:hRule="atLeast"/>
        </w:trPr>
        <w:tc>
          <w:tcPr>
            <w:tcW w:w="1282" w:type="dxa"/>
            <w:tcBorders>
              <w:left w:val="single" w:color="000000" w:sz="4" w:space="0"/>
              <w:bottom w:val="single" w:color="000000" w:sz="4" w:space="0"/>
              <w:right w:val="single" w:color="000000" w:sz="4" w:space="0"/>
            </w:tcBorders>
            <w:vAlign w:val="center"/>
          </w:tcPr>
          <w:p>
            <w:pPr>
              <w:widowControl/>
              <w:jc w:val="center"/>
              <w:textAlignment w:val="center"/>
              <w:rPr>
                <w:rFonts w:hint="eastAsia" w:ascii="方正书宋_GBK" w:hAnsi="方正书宋_GBK" w:eastAsia="方正书宋_GBK" w:cs="方正书宋_GBK"/>
                <w:b/>
                <w:color w:val="000000"/>
                <w:szCs w:val="21"/>
              </w:rPr>
            </w:pPr>
          </w:p>
        </w:tc>
        <w:tc>
          <w:tcPr>
            <w:tcW w:w="1279" w:type="dxa"/>
            <w:tcBorders>
              <w:bottom w:val="single" w:color="000000" w:sz="4" w:space="0"/>
              <w:right w:val="single" w:color="000000" w:sz="4" w:space="0"/>
            </w:tcBorders>
            <w:vAlign w:val="center"/>
          </w:tcPr>
          <w:p>
            <w:pPr>
              <w:jc w:val="right"/>
              <w:rPr>
                <w:rFonts w:hint="eastAsia" w:ascii="方正书宋_GBK" w:hAnsi="方正书宋_GBK" w:eastAsia="方正书宋_GBK" w:cs="方正书宋_GBK"/>
                <w:b/>
                <w:color w:val="000000"/>
                <w:szCs w:val="21"/>
              </w:rPr>
            </w:pPr>
          </w:p>
        </w:tc>
        <w:tc>
          <w:tcPr>
            <w:tcW w:w="1057" w:type="dxa"/>
            <w:tcBorders>
              <w:bottom w:val="single" w:color="000000" w:sz="4" w:space="0"/>
              <w:right w:val="single" w:color="000000" w:sz="4" w:space="0"/>
            </w:tcBorders>
            <w:vAlign w:val="center"/>
          </w:tcPr>
          <w:p>
            <w:pPr>
              <w:jc w:val="left"/>
              <w:rPr>
                <w:rFonts w:hint="eastAsia" w:ascii="方正书宋_GBK" w:hAnsi="方正书宋_GBK" w:eastAsia="方正书宋_GBK" w:cs="方正书宋_GBK"/>
                <w:b/>
                <w:color w:val="000000"/>
                <w:szCs w:val="21"/>
              </w:rPr>
            </w:pPr>
          </w:p>
        </w:tc>
        <w:tc>
          <w:tcPr>
            <w:tcW w:w="1071" w:type="dxa"/>
            <w:tcBorders>
              <w:bottom w:val="single" w:color="000000" w:sz="4" w:space="0"/>
              <w:right w:val="single" w:color="000000" w:sz="4" w:space="0"/>
            </w:tcBorders>
            <w:vAlign w:val="center"/>
          </w:tcPr>
          <w:p>
            <w:pPr>
              <w:jc w:val="left"/>
              <w:rPr>
                <w:rFonts w:hint="eastAsia" w:ascii="方正书宋_GBK" w:hAnsi="方正书宋_GBK" w:eastAsia="方正书宋_GBK" w:cs="方正书宋_GBK"/>
                <w:b/>
                <w:color w:val="000000"/>
                <w:szCs w:val="21"/>
              </w:rPr>
            </w:pPr>
          </w:p>
        </w:tc>
        <w:tc>
          <w:tcPr>
            <w:tcW w:w="736" w:type="dxa"/>
            <w:tcBorders>
              <w:bottom w:val="single" w:color="000000" w:sz="4" w:space="0"/>
              <w:right w:val="single" w:color="000000" w:sz="4" w:space="0"/>
            </w:tcBorders>
            <w:vAlign w:val="center"/>
          </w:tcPr>
          <w:p>
            <w:pPr>
              <w:jc w:val="left"/>
              <w:rPr>
                <w:rFonts w:hint="eastAsia" w:ascii="方正书宋_GBK" w:hAnsi="方正书宋_GBK" w:eastAsia="方正书宋_GBK" w:cs="方正书宋_GBK"/>
                <w:b/>
                <w:color w:val="000000"/>
                <w:szCs w:val="21"/>
              </w:rPr>
            </w:pPr>
          </w:p>
        </w:tc>
        <w:tc>
          <w:tcPr>
            <w:tcW w:w="530" w:type="dxa"/>
            <w:tcBorders>
              <w:bottom w:val="single" w:color="000000" w:sz="4" w:space="0"/>
              <w:right w:val="single" w:color="000000" w:sz="4" w:space="0"/>
            </w:tcBorders>
            <w:vAlign w:val="center"/>
          </w:tcPr>
          <w:p>
            <w:pPr>
              <w:jc w:val="right"/>
              <w:rPr>
                <w:rFonts w:hint="eastAsia" w:ascii="方正书宋_GBK" w:hAnsi="方正书宋_GBK" w:eastAsia="方正书宋_GBK" w:cs="方正书宋_GBK"/>
                <w:b/>
                <w:color w:val="000000"/>
                <w:szCs w:val="21"/>
              </w:rPr>
            </w:pPr>
          </w:p>
        </w:tc>
        <w:tc>
          <w:tcPr>
            <w:tcW w:w="665" w:type="dxa"/>
            <w:tcBorders>
              <w:bottom w:val="single" w:color="000000" w:sz="4" w:space="0"/>
              <w:right w:val="single" w:color="000000" w:sz="4" w:space="0"/>
            </w:tcBorders>
            <w:vAlign w:val="center"/>
          </w:tcPr>
          <w:p>
            <w:pPr>
              <w:jc w:val="right"/>
              <w:rPr>
                <w:rFonts w:hint="eastAsia" w:ascii="方正书宋_GBK" w:hAnsi="方正书宋_GBK" w:eastAsia="方正书宋_GBK" w:cs="方正书宋_GBK"/>
                <w:b/>
                <w:color w:val="000000"/>
                <w:szCs w:val="21"/>
              </w:rPr>
            </w:pPr>
          </w:p>
        </w:tc>
        <w:tc>
          <w:tcPr>
            <w:tcW w:w="879" w:type="dxa"/>
            <w:tcBorders>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b/>
                <w:color w:val="000000"/>
                <w:szCs w:val="21"/>
              </w:rPr>
            </w:pPr>
          </w:p>
        </w:tc>
        <w:tc>
          <w:tcPr>
            <w:tcW w:w="1069" w:type="dxa"/>
            <w:tcBorders>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b/>
                <w:color w:val="000000"/>
                <w:szCs w:val="21"/>
              </w:rPr>
            </w:pPr>
          </w:p>
        </w:tc>
        <w:tc>
          <w:tcPr>
            <w:tcW w:w="1060" w:type="dxa"/>
            <w:tcBorders>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b/>
                <w:color w:val="000000"/>
                <w:szCs w:val="21"/>
              </w:rPr>
            </w:pPr>
          </w:p>
        </w:tc>
        <w:tc>
          <w:tcPr>
            <w:tcW w:w="1069" w:type="dxa"/>
            <w:tcBorders>
              <w:bottom w:val="single" w:color="000000" w:sz="4" w:space="0"/>
              <w:right w:val="single" w:color="000000" w:sz="4" w:space="0"/>
            </w:tcBorders>
            <w:vAlign w:val="center"/>
          </w:tcPr>
          <w:p>
            <w:pPr>
              <w:jc w:val="right"/>
              <w:rPr>
                <w:rFonts w:hint="eastAsia" w:ascii="方正书宋_GBK" w:hAnsi="方正书宋_GBK" w:eastAsia="方正书宋_GBK" w:cs="方正书宋_GBK"/>
                <w:b/>
                <w:color w:val="000000"/>
                <w:szCs w:val="21"/>
              </w:rPr>
            </w:pPr>
          </w:p>
        </w:tc>
        <w:tc>
          <w:tcPr>
            <w:tcW w:w="1057" w:type="dxa"/>
            <w:tcBorders>
              <w:bottom w:val="single" w:color="000000" w:sz="4" w:space="0"/>
              <w:right w:val="single" w:color="000000" w:sz="4" w:space="0"/>
            </w:tcBorders>
            <w:vAlign w:val="center"/>
          </w:tcPr>
          <w:p>
            <w:pPr>
              <w:jc w:val="right"/>
              <w:rPr>
                <w:rFonts w:hint="eastAsia" w:ascii="方正书宋_GBK" w:hAnsi="方正书宋_GBK" w:eastAsia="方正书宋_GBK" w:cs="方正书宋_GBK"/>
                <w:b/>
                <w:color w:val="000000"/>
                <w:szCs w:val="21"/>
              </w:rPr>
            </w:pPr>
          </w:p>
        </w:tc>
        <w:tc>
          <w:tcPr>
            <w:tcW w:w="1057" w:type="dxa"/>
            <w:tcBorders>
              <w:bottom w:val="single" w:color="000000" w:sz="4" w:space="0"/>
              <w:right w:val="single" w:color="000000" w:sz="4" w:space="0"/>
            </w:tcBorders>
            <w:vAlign w:val="center"/>
          </w:tcPr>
          <w:p>
            <w:pPr>
              <w:jc w:val="right"/>
              <w:rPr>
                <w:rFonts w:hint="eastAsia" w:ascii="方正书宋_GBK" w:hAnsi="方正书宋_GBK" w:eastAsia="方正书宋_GBK" w:cs="方正书宋_GBK"/>
                <w:b/>
                <w:color w:val="000000"/>
                <w:szCs w:val="21"/>
              </w:rPr>
            </w:pPr>
          </w:p>
        </w:tc>
        <w:tc>
          <w:tcPr>
            <w:tcW w:w="1057" w:type="dxa"/>
            <w:tcBorders>
              <w:bottom w:val="single" w:color="000000" w:sz="4" w:space="0"/>
              <w:right w:val="single" w:color="000000" w:sz="4" w:space="0"/>
            </w:tcBorders>
            <w:vAlign w:val="center"/>
          </w:tcPr>
          <w:p>
            <w:pPr>
              <w:rPr>
                <w:rFonts w:hint="eastAsia" w:ascii="宋体" w:hAnsi="宋体" w:cs="宋体"/>
                <w:color w:val="000000"/>
                <w:sz w:val="24"/>
                <w:szCs w:val="24"/>
              </w:rPr>
            </w:pPr>
          </w:p>
        </w:tc>
      </w:tr>
      <w:tr>
        <w:tblPrEx>
          <w:tblLayout w:type="fixed"/>
          <w:tblCellMar>
            <w:top w:w="15" w:type="dxa"/>
            <w:left w:w="15" w:type="dxa"/>
            <w:bottom w:w="15" w:type="dxa"/>
            <w:right w:w="15" w:type="dxa"/>
          </w:tblCellMar>
        </w:tblPrEx>
        <w:trPr>
          <w:trHeight w:val="765" w:hRule="atLeast"/>
        </w:trPr>
        <w:tc>
          <w:tcPr>
            <w:tcW w:w="1282" w:type="dxa"/>
            <w:tcBorders>
              <w:left w:val="single" w:color="000000" w:sz="4" w:space="0"/>
              <w:bottom w:val="single" w:color="000000" w:sz="4" w:space="0"/>
              <w:right w:val="single" w:color="000000" w:sz="4" w:space="0"/>
            </w:tcBorders>
            <w:vAlign w:val="center"/>
          </w:tcPr>
          <w:p>
            <w:pPr>
              <w:widowControl/>
              <w:jc w:val="left"/>
              <w:textAlignment w:val="center"/>
              <w:rPr>
                <w:rFonts w:hint="eastAsia" w:ascii="方正书宋_GBK" w:hAnsi="方正书宋_GBK" w:eastAsia="方正书宋_GBK" w:cs="方正书宋_GBK"/>
                <w:color w:val="000000"/>
                <w:szCs w:val="21"/>
              </w:rPr>
            </w:pPr>
          </w:p>
        </w:tc>
        <w:tc>
          <w:tcPr>
            <w:tcW w:w="1279" w:type="dxa"/>
            <w:tcBorders>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color w:val="000000"/>
                <w:szCs w:val="21"/>
              </w:rPr>
            </w:pPr>
          </w:p>
        </w:tc>
        <w:tc>
          <w:tcPr>
            <w:tcW w:w="1057" w:type="dxa"/>
            <w:tcBorders>
              <w:bottom w:val="single" w:color="000000" w:sz="4" w:space="0"/>
              <w:right w:val="single" w:color="000000" w:sz="4" w:space="0"/>
            </w:tcBorders>
            <w:vAlign w:val="center"/>
          </w:tcPr>
          <w:p>
            <w:pPr>
              <w:widowControl/>
              <w:jc w:val="left"/>
              <w:textAlignment w:val="center"/>
              <w:rPr>
                <w:rFonts w:hint="eastAsia" w:ascii="方正书宋_GBK" w:hAnsi="方正书宋_GBK" w:cs="方正书宋_GBK"/>
                <w:color w:val="000000"/>
                <w:szCs w:val="21"/>
              </w:rPr>
            </w:pPr>
          </w:p>
        </w:tc>
        <w:tc>
          <w:tcPr>
            <w:tcW w:w="1071" w:type="dxa"/>
            <w:tcBorders>
              <w:bottom w:val="single" w:color="000000" w:sz="4" w:space="0"/>
              <w:right w:val="single" w:color="000000" w:sz="4" w:space="0"/>
            </w:tcBorders>
            <w:vAlign w:val="center"/>
          </w:tcPr>
          <w:p>
            <w:pPr>
              <w:widowControl/>
              <w:jc w:val="left"/>
              <w:textAlignment w:val="center"/>
              <w:rPr>
                <w:rFonts w:hint="eastAsia" w:ascii="方正书宋_GBK" w:hAnsi="方正书宋_GBK" w:cs="方正书宋_GBK"/>
                <w:color w:val="000000"/>
                <w:szCs w:val="21"/>
              </w:rPr>
            </w:pPr>
          </w:p>
        </w:tc>
        <w:tc>
          <w:tcPr>
            <w:tcW w:w="736" w:type="dxa"/>
            <w:tcBorders>
              <w:bottom w:val="single" w:color="000000" w:sz="4" w:space="0"/>
              <w:right w:val="single" w:color="000000" w:sz="4" w:space="0"/>
            </w:tcBorders>
            <w:vAlign w:val="center"/>
          </w:tcPr>
          <w:p>
            <w:pPr>
              <w:widowControl/>
              <w:jc w:val="left"/>
              <w:textAlignment w:val="center"/>
              <w:rPr>
                <w:rFonts w:hint="eastAsia" w:ascii="方正书宋_GBK" w:hAnsi="方正书宋_GBK" w:cs="方正书宋_GBK"/>
                <w:color w:val="000000"/>
                <w:szCs w:val="21"/>
              </w:rPr>
            </w:pPr>
          </w:p>
        </w:tc>
        <w:tc>
          <w:tcPr>
            <w:tcW w:w="530" w:type="dxa"/>
            <w:tcBorders>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color w:val="000000"/>
                <w:szCs w:val="21"/>
              </w:rPr>
            </w:pPr>
          </w:p>
        </w:tc>
        <w:tc>
          <w:tcPr>
            <w:tcW w:w="665" w:type="dxa"/>
            <w:tcBorders>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color w:val="000000"/>
                <w:szCs w:val="21"/>
              </w:rPr>
            </w:pPr>
          </w:p>
        </w:tc>
        <w:tc>
          <w:tcPr>
            <w:tcW w:w="879" w:type="dxa"/>
            <w:tcBorders>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color w:val="000000"/>
                <w:szCs w:val="21"/>
              </w:rPr>
            </w:pPr>
          </w:p>
        </w:tc>
        <w:tc>
          <w:tcPr>
            <w:tcW w:w="1069" w:type="dxa"/>
            <w:tcBorders>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color w:val="000000"/>
                <w:szCs w:val="21"/>
              </w:rPr>
            </w:pPr>
          </w:p>
        </w:tc>
        <w:tc>
          <w:tcPr>
            <w:tcW w:w="1060" w:type="dxa"/>
            <w:tcBorders>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color w:val="000000"/>
                <w:szCs w:val="21"/>
              </w:rPr>
            </w:pPr>
          </w:p>
        </w:tc>
        <w:tc>
          <w:tcPr>
            <w:tcW w:w="1069" w:type="dxa"/>
            <w:tcBorders>
              <w:bottom w:val="single" w:color="000000" w:sz="4" w:space="0"/>
              <w:right w:val="single" w:color="000000" w:sz="4" w:space="0"/>
            </w:tcBorders>
            <w:vAlign w:val="center"/>
          </w:tcPr>
          <w:p>
            <w:pPr>
              <w:jc w:val="right"/>
              <w:rPr>
                <w:rFonts w:hint="eastAsia" w:ascii="方正书宋_GBK" w:hAnsi="方正书宋_GBK" w:eastAsia="方正书宋_GBK" w:cs="方正书宋_GBK"/>
                <w:color w:val="000000"/>
                <w:szCs w:val="21"/>
              </w:rPr>
            </w:pPr>
          </w:p>
        </w:tc>
        <w:tc>
          <w:tcPr>
            <w:tcW w:w="1057" w:type="dxa"/>
            <w:tcBorders>
              <w:bottom w:val="single" w:color="000000" w:sz="4" w:space="0"/>
              <w:right w:val="single" w:color="000000" w:sz="4" w:space="0"/>
            </w:tcBorders>
            <w:vAlign w:val="center"/>
          </w:tcPr>
          <w:p>
            <w:pPr>
              <w:jc w:val="right"/>
              <w:rPr>
                <w:rFonts w:hint="eastAsia" w:ascii="方正书宋_GBK" w:hAnsi="方正书宋_GBK" w:eastAsia="方正书宋_GBK" w:cs="方正书宋_GBK"/>
                <w:color w:val="000000"/>
                <w:szCs w:val="21"/>
              </w:rPr>
            </w:pPr>
          </w:p>
        </w:tc>
        <w:tc>
          <w:tcPr>
            <w:tcW w:w="1057" w:type="dxa"/>
            <w:tcBorders>
              <w:bottom w:val="single" w:color="000000" w:sz="4" w:space="0"/>
              <w:right w:val="single" w:color="000000" w:sz="4" w:space="0"/>
            </w:tcBorders>
            <w:vAlign w:val="center"/>
          </w:tcPr>
          <w:p>
            <w:pPr>
              <w:jc w:val="right"/>
              <w:rPr>
                <w:rFonts w:hint="eastAsia" w:ascii="方正书宋_GBK" w:hAnsi="方正书宋_GBK" w:eastAsia="方正书宋_GBK" w:cs="方正书宋_GBK"/>
                <w:color w:val="000000"/>
                <w:szCs w:val="21"/>
              </w:rPr>
            </w:pPr>
          </w:p>
        </w:tc>
        <w:tc>
          <w:tcPr>
            <w:tcW w:w="1057" w:type="dxa"/>
            <w:tcBorders>
              <w:bottom w:val="single" w:color="000000" w:sz="4" w:space="0"/>
              <w:right w:val="single" w:color="000000" w:sz="4" w:space="0"/>
            </w:tcBorders>
            <w:vAlign w:val="center"/>
          </w:tcPr>
          <w:p>
            <w:pPr>
              <w:jc w:val="right"/>
              <w:rPr>
                <w:rFonts w:hint="eastAsia" w:ascii="方正书宋_GBK" w:hAnsi="方正书宋_GBK" w:eastAsia="方正书宋_GBK" w:cs="方正书宋_GBK"/>
                <w:color w:val="000000"/>
                <w:szCs w:val="21"/>
              </w:rPr>
            </w:pPr>
          </w:p>
        </w:tc>
      </w:tr>
      <w:tr>
        <w:tblPrEx>
          <w:tblLayout w:type="fixed"/>
          <w:tblCellMar>
            <w:top w:w="15" w:type="dxa"/>
            <w:left w:w="15" w:type="dxa"/>
            <w:bottom w:w="15" w:type="dxa"/>
            <w:right w:w="15" w:type="dxa"/>
          </w:tblCellMar>
        </w:tblPrEx>
        <w:trPr>
          <w:trHeight w:val="765" w:hRule="atLeast"/>
        </w:trPr>
        <w:tc>
          <w:tcPr>
            <w:tcW w:w="1282" w:type="dxa"/>
            <w:tcBorders>
              <w:left w:val="single" w:color="000000" w:sz="4" w:space="0"/>
              <w:bottom w:val="single" w:color="000000" w:sz="4" w:space="0"/>
              <w:right w:val="single" w:color="000000" w:sz="4" w:space="0"/>
            </w:tcBorders>
            <w:vAlign w:val="center"/>
          </w:tcPr>
          <w:p>
            <w:pPr>
              <w:widowControl/>
              <w:jc w:val="left"/>
              <w:textAlignment w:val="center"/>
              <w:rPr>
                <w:rFonts w:hint="eastAsia" w:ascii="方正书宋_GBK" w:hAnsi="方正书宋_GBK" w:eastAsia="方正书宋_GBK" w:cs="方正书宋_GBK"/>
                <w:color w:val="000000"/>
                <w:szCs w:val="21"/>
              </w:rPr>
            </w:pPr>
          </w:p>
        </w:tc>
        <w:tc>
          <w:tcPr>
            <w:tcW w:w="1279" w:type="dxa"/>
            <w:tcBorders>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color w:val="000000"/>
                <w:szCs w:val="21"/>
              </w:rPr>
            </w:pPr>
          </w:p>
        </w:tc>
        <w:tc>
          <w:tcPr>
            <w:tcW w:w="1057" w:type="dxa"/>
            <w:tcBorders>
              <w:bottom w:val="single" w:color="000000" w:sz="4" w:space="0"/>
              <w:right w:val="single" w:color="000000" w:sz="4" w:space="0"/>
            </w:tcBorders>
            <w:vAlign w:val="center"/>
          </w:tcPr>
          <w:p>
            <w:pPr>
              <w:widowControl/>
              <w:jc w:val="left"/>
              <w:textAlignment w:val="center"/>
              <w:rPr>
                <w:rFonts w:hint="eastAsia" w:ascii="方正书宋_GBK" w:hAnsi="方正书宋_GBK" w:eastAsia="方正书宋_GBK" w:cs="方正书宋_GBK"/>
                <w:color w:val="000000"/>
                <w:szCs w:val="21"/>
              </w:rPr>
            </w:pPr>
          </w:p>
        </w:tc>
        <w:tc>
          <w:tcPr>
            <w:tcW w:w="1071" w:type="dxa"/>
            <w:tcBorders>
              <w:bottom w:val="single" w:color="000000" w:sz="4" w:space="0"/>
              <w:right w:val="single" w:color="000000" w:sz="4" w:space="0"/>
            </w:tcBorders>
            <w:vAlign w:val="center"/>
          </w:tcPr>
          <w:p>
            <w:pPr>
              <w:widowControl/>
              <w:jc w:val="left"/>
              <w:textAlignment w:val="center"/>
              <w:rPr>
                <w:rFonts w:hint="eastAsia" w:ascii="方正书宋_GBK" w:hAnsi="方正书宋_GBK" w:cs="方正书宋_GBK"/>
                <w:color w:val="000000"/>
                <w:szCs w:val="21"/>
              </w:rPr>
            </w:pPr>
          </w:p>
        </w:tc>
        <w:tc>
          <w:tcPr>
            <w:tcW w:w="736" w:type="dxa"/>
            <w:tcBorders>
              <w:bottom w:val="single" w:color="000000" w:sz="4" w:space="0"/>
              <w:right w:val="single" w:color="000000" w:sz="4" w:space="0"/>
            </w:tcBorders>
            <w:vAlign w:val="center"/>
          </w:tcPr>
          <w:p>
            <w:pPr>
              <w:widowControl/>
              <w:jc w:val="left"/>
              <w:textAlignment w:val="center"/>
              <w:rPr>
                <w:rFonts w:hint="eastAsia" w:ascii="方正书宋_GBK" w:hAnsi="方正书宋_GBK" w:cs="方正书宋_GBK"/>
                <w:color w:val="000000"/>
                <w:szCs w:val="21"/>
              </w:rPr>
            </w:pPr>
          </w:p>
        </w:tc>
        <w:tc>
          <w:tcPr>
            <w:tcW w:w="530" w:type="dxa"/>
            <w:tcBorders>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color w:val="000000"/>
                <w:szCs w:val="21"/>
              </w:rPr>
            </w:pPr>
          </w:p>
        </w:tc>
        <w:tc>
          <w:tcPr>
            <w:tcW w:w="665" w:type="dxa"/>
            <w:tcBorders>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color w:val="000000"/>
                <w:szCs w:val="21"/>
              </w:rPr>
            </w:pPr>
          </w:p>
        </w:tc>
        <w:tc>
          <w:tcPr>
            <w:tcW w:w="879" w:type="dxa"/>
            <w:tcBorders>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color w:val="000000"/>
                <w:szCs w:val="21"/>
              </w:rPr>
            </w:pPr>
          </w:p>
        </w:tc>
        <w:tc>
          <w:tcPr>
            <w:tcW w:w="1069" w:type="dxa"/>
            <w:tcBorders>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color w:val="000000"/>
                <w:szCs w:val="21"/>
              </w:rPr>
            </w:pPr>
          </w:p>
        </w:tc>
        <w:tc>
          <w:tcPr>
            <w:tcW w:w="1060" w:type="dxa"/>
            <w:tcBorders>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color w:val="000000"/>
                <w:szCs w:val="21"/>
              </w:rPr>
            </w:pPr>
          </w:p>
        </w:tc>
        <w:tc>
          <w:tcPr>
            <w:tcW w:w="1069" w:type="dxa"/>
            <w:tcBorders>
              <w:bottom w:val="single" w:color="000000" w:sz="4" w:space="0"/>
              <w:right w:val="single" w:color="000000" w:sz="4" w:space="0"/>
            </w:tcBorders>
            <w:vAlign w:val="center"/>
          </w:tcPr>
          <w:p>
            <w:pPr>
              <w:jc w:val="right"/>
              <w:rPr>
                <w:rFonts w:hint="eastAsia" w:ascii="方正书宋_GBK" w:hAnsi="方正书宋_GBK" w:eastAsia="方正书宋_GBK" w:cs="方正书宋_GBK"/>
                <w:color w:val="000000"/>
                <w:szCs w:val="21"/>
              </w:rPr>
            </w:pPr>
          </w:p>
        </w:tc>
        <w:tc>
          <w:tcPr>
            <w:tcW w:w="1057" w:type="dxa"/>
            <w:tcBorders>
              <w:bottom w:val="single" w:color="000000" w:sz="4" w:space="0"/>
              <w:right w:val="single" w:color="000000" w:sz="4" w:space="0"/>
            </w:tcBorders>
            <w:vAlign w:val="center"/>
          </w:tcPr>
          <w:p>
            <w:pPr>
              <w:jc w:val="right"/>
              <w:rPr>
                <w:rFonts w:hint="eastAsia" w:ascii="方正书宋_GBK" w:hAnsi="方正书宋_GBK" w:eastAsia="方正书宋_GBK" w:cs="方正书宋_GBK"/>
                <w:color w:val="000000"/>
                <w:szCs w:val="21"/>
              </w:rPr>
            </w:pPr>
          </w:p>
        </w:tc>
        <w:tc>
          <w:tcPr>
            <w:tcW w:w="1057" w:type="dxa"/>
            <w:tcBorders>
              <w:bottom w:val="single" w:color="000000" w:sz="4" w:space="0"/>
              <w:right w:val="single" w:color="000000" w:sz="4" w:space="0"/>
            </w:tcBorders>
            <w:vAlign w:val="center"/>
          </w:tcPr>
          <w:p>
            <w:pPr>
              <w:jc w:val="right"/>
              <w:rPr>
                <w:rFonts w:hint="eastAsia" w:ascii="方正书宋_GBK" w:hAnsi="方正书宋_GBK" w:eastAsia="方正书宋_GBK" w:cs="方正书宋_GBK"/>
                <w:color w:val="000000"/>
                <w:szCs w:val="21"/>
              </w:rPr>
            </w:pPr>
          </w:p>
        </w:tc>
        <w:tc>
          <w:tcPr>
            <w:tcW w:w="1057" w:type="dxa"/>
            <w:tcBorders>
              <w:bottom w:val="single" w:color="000000" w:sz="4" w:space="0"/>
              <w:right w:val="single" w:color="000000" w:sz="4" w:space="0"/>
            </w:tcBorders>
            <w:vAlign w:val="center"/>
          </w:tcPr>
          <w:p>
            <w:pPr>
              <w:jc w:val="right"/>
              <w:rPr>
                <w:rFonts w:hint="eastAsia" w:ascii="方正书宋_GBK" w:hAnsi="方正书宋_GBK" w:eastAsia="方正书宋_GBK" w:cs="方正书宋_GBK"/>
                <w:color w:val="000000"/>
                <w:szCs w:val="21"/>
              </w:rPr>
            </w:pPr>
          </w:p>
        </w:tc>
      </w:tr>
      <w:tr>
        <w:tblPrEx>
          <w:tblLayout w:type="fixed"/>
          <w:tblCellMar>
            <w:top w:w="15" w:type="dxa"/>
            <w:left w:w="15" w:type="dxa"/>
            <w:bottom w:w="15" w:type="dxa"/>
            <w:right w:w="15" w:type="dxa"/>
          </w:tblCellMar>
        </w:tblPrEx>
        <w:trPr>
          <w:trHeight w:val="765" w:hRule="atLeast"/>
        </w:trPr>
        <w:tc>
          <w:tcPr>
            <w:tcW w:w="1282" w:type="dxa"/>
            <w:tcBorders>
              <w:left w:val="single" w:color="000000" w:sz="4" w:space="0"/>
              <w:bottom w:val="single" w:color="000000" w:sz="4" w:space="0"/>
              <w:right w:val="single" w:color="000000" w:sz="4" w:space="0"/>
            </w:tcBorders>
            <w:vAlign w:val="center"/>
          </w:tcPr>
          <w:p>
            <w:pPr>
              <w:widowControl/>
              <w:jc w:val="left"/>
              <w:textAlignment w:val="center"/>
              <w:rPr>
                <w:rFonts w:hint="eastAsia" w:ascii="方正书宋_GBK" w:hAnsi="方正书宋_GBK" w:eastAsia="方正书宋_GBK" w:cs="方正书宋_GBK"/>
                <w:color w:val="000000"/>
                <w:szCs w:val="21"/>
              </w:rPr>
            </w:pPr>
          </w:p>
        </w:tc>
        <w:tc>
          <w:tcPr>
            <w:tcW w:w="1279" w:type="dxa"/>
            <w:tcBorders>
              <w:bottom w:val="single" w:color="000000" w:sz="4" w:space="0"/>
              <w:right w:val="single" w:color="000000" w:sz="4" w:space="0"/>
            </w:tcBorders>
            <w:vAlign w:val="center"/>
          </w:tcPr>
          <w:p>
            <w:pPr>
              <w:widowControl/>
              <w:ind w:right="105"/>
              <w:jc w:val="right"/>
              <w:textAlignment w:val="center"/>
              <w:rPr>
                <w:rFonts w:hint="eastAsia" w:ascii="方正书宋_GBK" w:hAnsi="方正书宋_GBK" w:eastAsia="方正书宋_GBK" w:cs="方正书宋_GBK"/>
                <w:color w:val="000000"/>
                <w:szCs w:val="21"/>
              </w:rPr>
            </w:pPr>
          </w:p>
        </w:tc>
        <w:tc>
          <w:tcPr>
            <w:tcW w:w="1057" w:type="dxa"/>
            <w:tcBorders>
              <w:bottom w:val="single" w:color="000000" w:sz="4" w:space="0"/>
              <w:right w:val="single" w:color="000000" w:sz="4" w:space="0"/>
            </w:tcBorders>
            <w:vAlign w:val="center"/>
          </w:tcPr>
          <w:p>
            <w:pPr>
              <w:widowControl/>
              <w:jc w:val="left"/>
              <w:textAlignment w:val="center"/>
              <w:rPr>
                <w:rFonts w:hint="eastAsia" w:ascii="方正书宋_GBK" w:hAnsi="方正书宋_GBK" w:eastAsia="方正书宋_GBK" w:cs="方正书宋_GBK"/>
                <w:color w:val="000000"/>
                <w:szCs w:val="21"/>
              </w:rPr>
            </w:pPr>
          </w:p>
        </w:tc>
        <w:tc>
          <w:tcPr>
            <w:tcW w:w="1071" w:type="dxa"/>
            <w:tcBorders>
              <w:bottom w:val="single" w:color="000000" w:sz="4" w:space="0"/>
              <w:right w:val="single" w:color="000000" w:sz="4" w:space="0"/>
            </w:tcBorders>
            <w:vAlign w:val="center"/>
          </w:tcPr>
          <w:p>
            <w:pPr>
              <w:widowControl/>
              <w:jc w:val="left"/>
              <w:textAlignment w:val="center"/>
              <w:rPr>
                <w:rFonts w:hint="eastAsia" w:ascii="方正书宋_GBK" w:hAnsi="方正书宋_GBK" w:cs="方正书宋_GBK"/>
                <w:color w:val="000000"/>
                <w:szCs w:val="21"/>
              </w:rPr>
            </w:pPr>
          </w:p>
        </w:tc>
        <w:tc>
          <w:tcPr>
            <w:tcW w:w="736" w:type="dxa"/>
            <w:tcBorders>
              <w:bottom w:val="single" w:color="000000" w:sz="4" w:space="0"/>
              <w:right w:val="single" w:color="000000" w:sz="4" w:space="0"/>
            </w:tcBorders>
            <w:vAlign w:val="center"/>
          </w:tcPr>
          <w:p>
            <w:pPr>
              <w:widowControl/>
              <w:jc w:val="left"/>
              <w:textAlignment w:val="center"/>
              <w:rPr>
                <w:rFonts w:hint="eastAsia" w:ascii="方正书宋_GBK" w:hAnsi="方正书宋_GBK" w:cs="方正书宋_GBK"/>
                <w:color w:val="000000"/>
                <w:szCs w:val="21"/>
              </w:rPr>
            </w:pPr>
          </w:p>
        </w:tc>
        <w:tc>
          <w:tcPr>
            <w:tcW w:w="530" w:type="dxa"/>
            <w:tcBorders>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color w:val="000000"/>
                <w:szCs w:val="21"/>
              </w:rPr>
            </w:pPr>
          </w:p>
        </w:tc>
        <w:tc>
          <w:tcPr>
            <w:tcW w:w="665" w:type="dxa"/>
            <w:tcBorders>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color w:val="000000"/>
                <w:szCs w:val="21"/>
              </w:rPr>
            </w:pPr>
          </w:p>
        </w:tc>
        <w:tc>
          <w:tcPr>
            <w:tcW w:w="879" w:type="dxa"/>
            <w:tcBorders>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color w:val="000000"/>
                <w:szCs w:val="21"/>
              </w:rPr>
            </w:pPr>
          </w:p>
        </w:tc>
        <w:tc>
          <w:tcPr>
            <w:tcW w:w="1069" w:type="dxa"/>
            <w:tcBorders>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color w:val="000000"/>
                <w:szCs w:val="21"/>
              </w:rPr>
            </w:pPr>
          </w:p>
        </w:tc>
        <w:tc>
          <w:tcPr>
            <w:tcW w:w="1060" w:type="dxa"/>
            <w:tcBorders>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color w:val="000000"/>
                <w:szCs w:val="21"/>
              </w:rPr>
            </w:pPr>
          </w:p>
        </w:tc>
        <w:tc>
          <w:tcPr>
            <w:tcW w:w="1069" w:type="dxa"/>
            <w:tcBorders>
              <w:bottom w:val="single" w:color="000000" w:sz="4" w:space="0"/>
              <w:right w:val="single" w:color="000000" w:sz="4" w:space="0"/>
            </w:tcBorders>
            <w:vAlign w:val="center"/>
          </w:tcPr>
          <w:p>
            <w:pPr>
              <w:jc w:val="right"/>
              <w:rPr>
                <w:rFonts w:hint="eastAsia" w:ascii="方正书宋_GBK" w:hAnsi="方正书宋_GBK" w:eastAsia="方正书宋_GBK" w:cs="方正书宋_GBK"/>
                <w:color w:val="000000"/>
                <w:szCs w:val="21"/>
              </w:rPr>
            </w:pPr>
          </w:p>
        </w:tc>
        <w:tc>
          <w:tcPr>
            <w:tcW w:w="1057" w:type="dxa"/>
            <w:tcBorders>
              <w:bottom w:val="single" w:color="000000" w:sz="4" w:space="0"/>
              <w:right w:val="single" w:color="000000" w:sz="4" w:space="0"/>
            </w:tcBorders>
            <w:vAlign w:val="center"/>
          </w:tcPr>
          <w:p>
            <w:pPr>
              <w:jc w:val="right"/>
              <w:rPr>
                <w:rFonts w:hint="eastAsia" w:ascii="方正书宋_GBK" w:hAnsi="方正书宋_GBK" w:eastAsia="方正书宋_GBK" w:cs="方正书宋_GBK"/>
                <w:color w:val="000000"/>
                <w:szCs w:val="21"/>
              </w:rPr>
            </w:pPr>
          </w:p>
        </w:tc>
        <w:tc>
          <w:tcPr>
            <w:tcW w:w="1057" w:type="dxa"/>
            <w:tcBorders>
              <w:bottom w:val="single" w:color="000000" w:sz="4" w:space="0"/>
              <w:right w:val="single" w:color="000000" w:sz="4" w:space="0"/>
            </w:tcBorders>
            <w:vAlign w:val="center"/>
          </w:tcPr>
          <w:p>
            <w:pPr>
              <w:jc w:val="right"/>
              <w:rPr>
                <w:rFonts w:hint="eastAsia" w:ascii="方正书宋_GBK" w:hAnsi="方正书宋_GBK" w:eastAsia="方正书宋_GBK" w:cs="方正书宋_GBK"/>
                <w:color w:val="000000"/>
                <w:szCs w:val="21"/>
              </w:rPr>
            </w:pPr>
          </w:p>
        </w:tc>
        <w:tc>
          <w:tcPr>
            <w:tcW w:w="1057" w:type="dxa"/>
            <w:tcBorders>
              <w:bottom w:val="single" w:color="000000" w:sz="4" w:space="0"/>
              <w:right w:val="single" w:color="000000" w:sz="4" w:space="0"/>
            </w:tcBorders>
            <w:vAlign w:val="center"/>
          </w:tcPr>
          <w:p>
            <w:pPr>
              <w:jc w:val="right"/>
              <w:rPr>
                <w:rFonts w:hint="eastAsia" w:ascii="方正书宋_GBK" w:hAnsi="方正书宋_GBK" w:eastAsia="方正书宋_GBK" w:cs="方正书宋_GBK"/>
                <w:color w:val="000000"/>
                <w:szCs w:val="21"/>
              </w:rPr>
            </w:pPr>
          </w:p>
        </w:tc>
      </w:tr>
      <w:tr>
        <w:tblPrEx>
          <w:tblLayout w:type="fixed"/>
          <w:tblCellMar>
            <w:top w:w="15" w:type="dxa"/>
            <w:left w:w="15" w:type="dxa"/>
            <w:bottom w:w="15" w:type="dxa"/>
            <w:right w:w="15" w:type="dxa"/>
          </w:tblCellMar>
        </w:tblPrEx>
        <w:trPr>
          <w:trHeight w:val="765" w:hRule="atLeast"/>
        </w:trPr>
        <w:tc>
          <w:tcPr>
            <w:tcW w:w="1282" w:type="dxa"/>
            <w:tcBorders>
              <w:left w:val="single" w:color="000000" w:sz="4" w:space="0"/>
              <w:bottom w:val="single" w:color="000000" w:sz="4" w:space="0"/>
              <w:right w:val="single" w:color="000000" w:sz="4" w:space="0"/>
            </w:tcBorders>
            <w:vAlign w:val="center"/>
          </w:tcPr>
          <w:p>
            <w:pPr>
              <w:widowControl/>
              <w:jc w:val="left"/>
              <w:textAlignment w:val="center"/>
              <w:rPr>
                <w:rFonts w:hint="eastAsia" w:ascii="方正书宋_GBK" w:hAnsi="方正书宋_GBK" w:eastAsia="方正书宋_GBK" w:cs="方正书宋_GBK"/>
                <w:color w:val="000000"/>
                <w:szCs w:val="21"/>
              </w:rPr>
            </w:pPr>
          </w:p>
        </w:tc>
        <w:tc>
          <w:tcPr>
            <w:tcW w:w="1279" w:type="dxa"/>
            <w:tcBorders>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color w:val="000000"/>
                <w:szCs w:val="21"/>
              </w:rPr>
            </w:pPr>
          </w:p>
        </w:tc>
        <w:tc>
          <w:tcPr>
            <w:tcW w:w="1057" w:type="dxa"/>
            <w:tcBorders>
              <w:bottom w:val="single" w:color="000000" w:sz="4" w:space="0"/>
              <w:right w:val="single" w:color="000000" w:sz="4" w:space="0"/>
            </w:tcBorders>
            <w:vAlign w:val="center"/>
          </w:tcPr>
          <w:p>
            <w:pPr>
              <w:widowControl/>
              <w:jc w:val="left"/>
              <w:textAlignment w:val="center"/>
              <w:rPr>
                <w:rFonts w:hint="eastAsia" w:ascii="方正书宋_GBK" w:hAnsi="方正书宋_GBK" w:eastAsia="方正书宋_GBK" w:cs="方正书宋_GBK"/>
                <w:color w:val="000000"/>
                <w:szCs w:val="21"/>
              </w:rPr>
            </w:pPr>
          </w:p>
        </w:tc>
        <w:tc>
          <w:tcPr>
            <w:tcW w:w="1071" w:type="dxa"/>
            <w:tcBorders>
              <w:bottom w:val="single" w:color="000000" w:sz="4" w:space="0"/>
              <w:right w:val="single" w:color="000000" w:sz="4" w:space="0"/>
            </w:tcBorders>
            <w:vAlign w:val="center"/>
          </w:tcPr>
          <w:p>
            <w:pPr>
              <w:widowControl/>
              <w:jc w:val="left"/>
              <w:textAlignment w:val="center"/>
              <w:rPr>
                <w:rFonts w:hint="eastAsia" w:ascii="方正书宋_GBK" w:hAnsi="方正书宋_GBK" w:cs="方正书宋_GBK"/>
                <w:color w:val="000000"/>
                <w:szCs w:val="21"/>
              </w:rPr>
            </w:pPr>
          </w:p>
        </w:tc>
        <w:tc>
          <w:tcPr>
            <w:tcW w:w="736" w:type="dxa"/>
            <w:tcBorders>
              <w:bottom w:val="single" w:color="000000" w:sz="4" w:space="0"/>
              <w:right w:val="single" w:color="000000" w:sz="4" w:space="0"/>
            </w:tcBorders>
            <w:vAlign w:val="center"/>
          </w:tcPr>
          <w:p>
            <w:pPr>
              <w:widowControl/>
              <w:jc w:val="left"/>
              <w:textAlignment w:val="center"/>
              <w:rPr>
                <w:rFonts w:hint="eastAsia" w:ascii="方正书宋_GBK" w:hAnsi="方正书宋_GBK" w:cs="方正书宋_GBK"/>
                <w:color w:val="000000"/>
                <w:szCs w:val="21"/>
              </w:rPr>
            </w:pPr>
          </w:p>
        </w:tc>
        <w:tc>
          <w:tcPr>
            <w:tcW w:w="530" w:type="dxa"/>
            <w:tcBorders>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color w:val="000000"/>
                <w:szCs w:val="21"/>
              </w:rPr>
            </w:pPr>
          </w:p>
        </w:tc>
        <w:tc>
          <w:tcPr>
            <w:tcW w:w="665" w:type="dxa"/>
            <w:tcBorders>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color w:val="000000"/>
                <w:szCs w:val="21"/>
              </w:rPr>
            </w:pPr>
          </w:p>
        </w:tc>
        <w:tc>
          <w:tcPr>
            <w:tcW w:w="879" w:type="dxa"/>
            <w:tcBorders>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color w:val="000000"/>
                <w:szCs w:val="21"/>
              </w:rPr>
            </w:pPr>
          </w:p>
        </w:tc>
        <w:tc>
          <w:tcPr>
            <w:tcW w:w="1069" w:type="dxa"/>
            <w:tcBorders>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color w:val="000000"/>
                <w:szCs w:val="21"/>
              </w:rPr>
            </w:pPr>
          </w:p>
        </w:tc>
        <w:tc>
          <w:tcPr>
            <w:tcW w:w="1060" w:type="dxa"/>
            <w:tcBorders>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color w:val="000000"/>
                <w:szCs w:val="21"/>
              </w:rPr>
            </w:pPr>
          </w:p>
        </w:tc>
        <w:tc>
          <w:tcPr>
            <w:tcW w:w="1069" w:type="dxa"/>
            <w:tcBorders>
              <w:bottom w:val="single" w:color="000000" w:sz="4" w:space="0"/>
              <w:right w:val="single" w:color="000000" w:sz="4" w:space="0"/>
            </w:tcBorders>
            <w:vAlign w:val="center"/>
          </w:tcPr>
          <w:p>
            <w:pPr>
              <w:jc w:val="right"/>
              <w:rPr>
                <w:rFonts w:hint="eastAsia" w:ascii="方正书宋_GBK" w:hAnsi="方正书宋_GBK" w:eastAsia="方正书宋_GBK" w:cs="方正书宋_GBK"/>
                <w:color w:val="000000"/>
                <w:szCs w:val="21"/>
              </w:rPr>
            </w:pPr>
          </w:p>
        </w:tc>
        <w:tc>
          <w:tcPr>
            <w:tcW w:w="1057" w:type="dxa"/>
            <w:tcBorders>
              <w:bottom w:val="single" w:color="000000" w:sz="4" w:space="0"/>
              <w:right w:val="single" w:color="000000" w:sz="4" w:space="0"/>
            </w:tcBorders>
            <w:vAlign w:val="center"/>
          </w:tcPr>
          <w:p>
            <w:pPr>
              <w:jc w:val="right"/>
              <w:rPr>
                <w:rFonts w:hint="eastAsia" w:ascii="方正书宋_GBK" w:hAnsi="方正书宋_GBK" w:eastAsia="方正书宋_GBK" w:cs="方正书宋_GBK"/>
                <w:color w:val="000000"/>
                <w:szCs w:val="21"/>
              </w:rPr>
            </w:pPr>
          </w:p>
        </w:tc>
        <w:tc>
          <w:tcPr>
            <w:tcW w:w="1057" w:type="dxa"/>
            <w:tcBorders>
              <w:bottom w:val="single" w:color="000000" w:sz="4" w:space="0"/>
              <w:right w:val="single" w:color="000000" w:sz="4" w:space="0"/>
            </w:tcBorders>
            <w:vAlign w:val="center"/>
          </w:tcPr>
          <w:p>
            <w:pPr>
              <w:jc w:val="right"/>
              <w:rPr>
                <w:rFonts w:hint="eastAsia" w:ascii="方正书宋_GBK" w:hAnsi="方正书宋_GBK" w:eastAsia="方正书宋_GBK" w:cs="方正书宋_GBK"/>
                <w:color w:val="000000"/>
                <w:szCs w:val="21"/>
              </w:rPr>
            </w:pPr>
          </w:p>
        </w:tc>
        <w:tc>
          <w:tcPr>
            <w:tcW w:w="1057" w:type="dxa"/>
            <w:tcBorders>
              <w:bottom w:val="single" w:color="000000" w:sz="4" w:space="0"/>
              <w:right w:val="single" w:color="000000" w:sz="4" w:space="0"/>
            </w:tcBorders>
            <w:vAlign w:val="center"/>
          </w:tcPr>
          <w:p>
            <w:pPr>
              <w:jc w:val="right"/>
              <w:rPr>
                <w:rFonts w:hint="eastAsia" w:ascii="方正书宋_GBK" w:hAnsi="方正书宋_GBK" w:eastAsia="方正书宋_GBK" w:cs="方正书宋_GBK"/>
                <w:color w:val="000000"/>
                <w:szCs w:val="21"/>
              </w:rPr>
            </w:pPr>
          </w:p>
        </w:tc>
      </w:tr>
      <w:tr>
        <w:tblPrEx>
          <w:tblLayout w:type="fixed"/>
          <w:tblCellMar>
            <w:top w:w="15" w:type="dxa"/>
            <w:left w:w="15" w:type="dxa"/>
            <w:bottom w:w="15" w:type="dxa"/>
            <w:right w:w="15" w:type="dxa"/>
          </w:tblCellMar>
        </w:tblPrEx>
        <w:trPr>
          <w:trHeight w:val="510" w:hRule="atLeast"/>
        </w:trPr>
        <w:tc>
          <w:tcPr>
            <w:tcW w:w="1282" w:type="dxa"/>
            <w:tcBorders>
              <w:left w:val="single" w:color="000000" w:sz="4" w:space="0"/>
              <w:bottom w:val="single" w:color="000000" w:sz="4" w:space="0"/>
              <w:right w:val="single" w:color="000000" w:sz="4" w:space="0"/>
            </w:tcBorders>
            <w:vAlign w:val="center"/>
          </w:tcPr>
          <w:p>
            <w:pPr>
              <w:widowControl/>
              <w:jc w:val="left"/>
              <w:textAlignment w:val="center"/>
              <w:rPr>
                <w:rFonts w:hint="eastAsia" w:ascii="方正书宋_GBK" w:hAnsi="方正书宋_GBK" w:cs="方正书宋_GBK"/>
                <w:color w:val="000000"/>
                <w:szCs w:val="21"/>
              </w:rPr>
            </w:pPr>
          </w:p>
        </w:tc>
        <w:tc>
          <w:tcPr>
            <w:tcW w:w="1279" w:type="dxa"/>
            <w:tcBorders>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color w:val="000000"/>
                <w:szCs w:val="21"/>
              </w:rPr>
            </w:pPr>
          </w:p>
        </w:tc>
        <w:tc>
          <w:tcPr>
            <w:tcW w:w="1057" w:type="dxa"/>
            <w:tcBorders>
              <w:bottom w:val="single" w:color="000000" w:sz="4" w:space="0"/>
              <w:right w:val="single" w:color="000000" w:sz="4" w:space="0"/>
            </w:tcBorders>
            <w:vAlign w:val="center"/>
          </w:tcPr>
          <w:p>
            <w:pPr>
              <w:widowControl/>
              <w:jc w:val="left"/>
              <w:textAlignment w:val="center"/>
              <w:rPr>
                <w:rFonts w:hint="eastAsia" w:ascii="方正书宋_GBK" w:hAnsi="方正书宋_GBK" w:eastAsia="方正书宋_GBK" w:cs="方正书宋_GBK"/>
                <w:color w:val="000000"/>
                <w:szCs w:val="21"/>
              </w:rPr>
            </w:pPr>
          </w:p>
        </w:tc>
        <w:tc>
          <w:tcPr>
            <w:tcW w:w="1071" w:type="dxa"/>
            <w:tcBorders>
              <w:bottom w:val="single" w:color="000000" w:sz="4" w:space="0"/>
              <w:right w:val="single" w:color="000000" w:sz="4" w:space="0"/>
            </w:tcBorders>
            <w:vAlign w:val="center"/>
          </w:tcPr>
          <w:p>
            <w:pPr>
              <w:widowControl/>
              <w:jc w:val="left"/>
              <w:textAlignment w:val="center"/>
              <w:rPr>
                <w:rFonts w:hint="eastAsia" w:ascii="方正书宋_GBK" w:hAnsi="方正书宋_GBK" w:cs="方正书宋_GBK"/>
                <w:color w:val="000000"/>
                <w:szCs w:val="21"/>
              </w:rPr>
            </w:pPr>
          </w:p>
        </w:tc>
        <w:tc>
          <w:tcPr>
            <w:tcW w:w="736" w:type="dxa"/>
            <w:tcBorders>
              <w:bottom w:val="single" w:color="000000" w:sz="4" w:space="0"/>
              <w:right w:val="single" w:color="000000" w:sz="4" w:space="0"/>
            </w:tcBorders>
            <w:vAlign w:val="center"/>
          </w:tcPr>
          <w:p>
            <w:pPr>
              <w:widowControl/>
              <w:jc w:val="left"/>
              <w:textAlignment w:val="center"/>
              <w:rPr>
                <w:rFonts w:hint="eastAsia" w:ascii="方正书宋_GBK" w:hAnsi="方正书宋_GBK" w:cs="方正书宋_GBK"/>
                <w:color w:val="000000"/>
                <w:szCs w:val="21"/>
              </w:rPr>
            </w:pPr>
          </w:p>
        </w:tc>
        <w:tc>
          <w:tcPr>
            <w:tcW w:w="530" w:type="dxa"/>
            <w:tcBorders>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color w:val="000000"/>
                <w:szCs w:val="21"/>
              </w:rPr>
            </w:pPr>
          </w:p>
        </w:tc>
        <w:tc>
          <w:tcPr>
            <w:tcW w:w="665" w:type="dxa"/>
            <w:tcBorders>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color w:val="000000"/>
                <w:szCs w:val="21"/>
              </w:rPr>
            </w:pPr>
          </w:p>
        </w:tc>
        <w:tc>
          <w:tcPr>
            <w:tcW w:w="879" w:type="dxa"/>
            <w:tcBorders>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color w:val="000000"/>
                <w:szCs w:val="21"/>
              </w:rPr>
            </w:pPr>
          </w:p>
        </w:tc>
        <w:tc>
          <w:tcPr>
            <w:tcW w:w="1069" w:type="dxa"/>
            <w:tcBorders>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color w:val="000000"/>
                <w:szCs w:val="21"/>
              </w:rPr>
            </w:pPr>
          </w:p>
        </w:tc>
        <w:tc>
          <w:tcPr>
            <w:tcW w:w="1060" w:type="dxa"/>
            <w:tcBorders>
              <w:bottom w:val="single" w:color="000000" w:sz="4" w:space="0"/>
              <w:right w:val="single" w:color="000000" w:sz="4" w:space="0"/>
            </w:tcBorders>
            <w:vAlign w:val="center"/>
          </w:tcPr>
          <w:p>
            <w:pPr>
              <w:widowControl/>
              <w:jc w:val="right"/>
              <w:textAlignment w:val="center"/>
              <w:rPr>
                <w:rFonts w:hint="eastAsia" w:ascii="方正书宋_GBK" w:hAnsi="方正书宋_GBK" w:eastAsia="方正书宋_GBK" w:cs="方正书宋_GBK"/>
                <w:color w:val="000000"/>
                <w:szCs w:val="21"/>
              </w:rPr>
            </w:pPr>
          </w:p>
        </w:tc>
        <w:tc>
          <w:tcPr>
            <w:tcW w:w="1069" w:type="dxa"/>
            <w:tcBorders>
              <w:bottom w:val="single" w:color="000000" w:sz="4" w:space="0"/>
              <w:right w:val="single" w:color="000000" w:sz="4" w:space="0"/>
            </w:tcBorders>
            <w:vAlign w:val="center"/>
          </w:tcPr>
          <w:p>
            <w:pPr>
              <w:jc w:val="right"/>
              <w:rPr>
                <w:rFonts w:hint="eastAsia" w:ascii="方正书宋_GBK" w:hAnsi="方正书宋_GBK" w:eastAsia="方正书宋_GBK" w:cs="方正书宋_GBK"/>
                <w:color w:val="000000"/>
                <w:szCs w:val="21"/>
              </w:rPr>
            </w:pPr>
          </w:p>
        </w:tc>
        <w:tc>
          <w:tcPr>
            <w:tcW w:w="1057" w:type="dxa"/>
            <w:tcBorders>
              <w:bottom w:val="single" w:color="000000" w:sz="4" w:space="0"/>
              <w:right w:val="single" w:color="000000" w:sz="4" w:space="0"/>
            </w:tcBorders>
            <w:vAlign w:val="center"/>
          </w:tcPr>
          <w:p>
            <w:pPr>
              <w:jc w:val="right"/>
              <w:rPr>
                <w:rFonts w:hint="eastAsia" w:ascii="方正书宋_GBK" w:hAnsi="方正书宋_GBK" w:eastAsia="方正书宋_GBK" w:cs="方正书宋_GBK"/>
                <w:color w:val="000000"/>
                <w:szCs w:val="21"/>
              </w:rPr>
            </w:pPr>
          </w:p>
        </w:tc>
        <w:tc>
          <w:tcPr>
            <w:tcW w:w="1057" w:type="dxa"/>
            <w:tcBorders>
              <w:bottom w:val="single" w:color="000000" w:sz="4" w:space="0"/>
              <w:right w:val="single" w:color="000000" w:sz="4" w:space="0"/>
            </w:tcBorders>
            <w:vAlign w:val="center"/>
          </w:tcPr>
          <w:p>
            <w:pPr>
              <w:jc w:val="right"/>
              <w:rPr>
                <w:rFonts w:hint="eastAsia" w:ascii="方正书宋_GBK" w:hAnsi="方正书宋_GBK" w:eastAsia="方正书宋_GBK" w:cs="方正书宋_GBK"/>
                <w:color w:val="000000"/>
                <w:szCs w:val="21"/>
              </w:rPr>
            </w:pPr>
          </w:p>
        </w:tc>
        <w:tc>
          <w:tcPr>
            <w:tcW w:w="1057" w:type="dxa"/>
            <w:tcBorders>
              <w:bottom w:val="single" w:color="000000" w:sz="4" w:space="0"/>
              <w:right w:val="single" w:color="000000" w:sz="4" w:space="0"/>
            </w:tcBorders>
            <w:vAlign w:val="center"/>
          </w:tcPr>
          <w:p>
            <w:pPr>
              <w:jc w:val="right"/>
              <w:rPr>
                <w:rFonts w:hint="eastAsia" w:ascii="方正书宋_GBK" w:hAnsi="方正书宋_GBK" w:eastAsia="方正书宋_GBK" w:cs="方正书宋_GBK"/>
                <w:color w:val="000000"/>
                <w:szCs w:val="21"/>
              </w:rPr>
            </w:pPr>
          </w:p>
        </w:tc>
      </w:tr>
    </w:tbl>
    <w:p>
      <w:pPr>
        <w:spacing w:line="300" w:lineRule="exact"/>
        <w:jc w:val="left"/>
        <w:outlineLvl w:val="0"/>
        <w:rPr>
          <w:rFonts w:hint="eastAsia" w:ascii="仿宋" w:hAnsi="仿宋" w:eastAsia="仿宋" w:cs="仿宋"/>
          <w:sz w:val="32"/>
          <w:szCs w:val="32"/>
        </w:rPr>
      </w:pPr>
    </w:p>
    <w:p>
      <w:pPr>
        <w:spacing w:line="300" w:lineRule="exact"/>
        <w:jc w:val="left"/>
        <w:outlineLvl w:val="0"/>
        <w:rPr>
          <w:rFonts w:hint="eastAsia" w:ascii="仿宋" w:hAnsi="仿宋" w:eastAsia="仿宋" w:cs="仿宋"/>
          <w:sz w:val="32"/>
          <w:szCs w:val="32"/>
        </w:rPr>
        <w:sectPr>
          <w:pgSz w:w="16838" w:h="11906" w:orient="landscape"/>
          <w:pgMar w:top="1077" w:right="1440" w:bottom="1077" w:left="1440" w:header="851" w:footer="992" w:gutter="0"/>
          <w:cols w:space="425" w:num="1"/>
          <w:docGrid w:type="lines" w:linePitch="312" w:charSpace="0"/>
        </w:sectPr>
      </w:pPr>
      <w:r>
        <w:rPr>
          <w:rFonts w:hint="eastAsia" w:ascii="仿宋" w:hAnsi="仿宋" w:eastAsia="仿宋" w:cs="仿宋"/>
          <w:sz w:val="32"/>
          <w:szCs w:val="32"/>
        </w:rPr>
        <w:t>201</w:t>
      </w:r>
      <w:r>
        <w:rPr>
          <w:rFonts w:hint="eastAsia" w:ascii="仿宋" w:hAnsi="仿宋" w:eastAsia="仿宋" w:cs="仿宋"/>
          <w:sz w:val="32"/>
          <w:szCs w:val="32"/>
          <w:lang w:val="en-US" w:eastAsia="zh-CN"/>
        </w:rPr>
        <w:t>9</w:t>
      </w:r>
      <w:r>
        <w:rPr>
          <w:rFonts w:hint="eastAsia" w:ascii="仿宋" w:hAnsi="仿宋" w:eastAsia="仿宋" w:cs="仿宋"/>
          <w:sz w:val="32"/>
          <w:szCs w:val="32"/>
        </w:rPr>
        <w:t>年度我单位无政府采购预算。</w:t>
      </w:r>
    </w:p>
    <w:p>
      <w:pPr>
        <w:autoSpaceDE w:val="0"/>
        <w:autoSpaceDN w:val="0"/>
        <w:adjustRightInd w:val="0"/>
        <w:ind w:firstLine="640" w:firstLineChars="200"/>
        <w:jc w:val="left"/>
        <w:rPr>
          <w:rFonts w:hint="eastAsia" w:ascii="仿宋" w:hAnsi="仿宋" w:eastAsia="仿宋" w:cs="仿宋"/>
          <w:sz w:val="32"/>
          <w:szCs w:val="32"/>
        </w:rPr>
      </w:pPr>
    </w:p>
    <w:p>
      <w:pPr>
        <w:autoSpaceDE w:val="0"/>
        <w:autoSpaceDN w:val="0"/>
        <w:adjustRightInd w:val="0"/>
        <w:ind w:firstLine="640" w:firstLineChars="200"/>
        <w:jc w:val="left"/>
        <w:rPr>
          <w:rFonts w:ascii="黑体" w:hAnsi="黑体" w:eastAsia="黑体" w:cs="Times New Roman"/>
          <w:sz w:val="32"/>
          <w:szCs w:val="32"/>
        </w:rPr>
      </w:pPr>
      <w:r>
        <w:rPr>
          <w:rFonts w:hint="eastAsia" w:ascii="黑体" w:hAnsi="黑体" w:eastAsia="黑体" w:cs="Times New Roman"/>
          <w:sz w:val="32"/>
          <w:szCs w:val="32"/>
        </w:rPr>
        <w:t>七、国有资产信息</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石家庄市鹿泉区广播电视台</w:t>
      </w:r>
      <w:r>
        <w:rPr>
          <w:rFonts w:hint="eastAsia" w:ascii="仿宋" w:hAnsi="仿宋" w:eastAsia="仿宋" w:cs="仿宋"/>
          <w:sz w:val="32"/>
          <w:szCs w:val="32"/>
        </w:rPr>
        <w:t>上年末固定资产金额为</w:t>
      </w:r>
      <w:r>
        <w:rPr>
          <w:rFonts w:hint="eastAsia" w:ascii="仿宋" w:hAnsi="仿宋" w:eastAsia="仿宋" w:cs="仿宋"/>
          <w:sz w:val="32"/>
          <w:szCs w:val="32"/>
          <w:lang w:val="en-US" w:eastAsia="zh-CN"/>
        </w:rPr>
        <w:t>1156.878742</w:t>
      </w:r>
      <w:r>
        <w:rPr>
          <w:rFonts w:hint="eastAsia" w:ascii="仿宋" w:hAnsi="仿宋" w:eastAsia="仿宋" w:cs="仿宋"/>
          <w:sz w:val="32"/>
          <w:szCs w:val="32"/>
        </w:rPr>
        <w:t>万元（详见下表），本年度拟购置固定资产总额为</w:t>
      </w:r>
      <w:r>
        <w:rPr>
          <w:rFonts w:hint="eastAsia" w:ascii="仿宋" w:hAnsi="仿宋" w:eastAsia="仿宋" w:cs="仿宋"/>
          <w:sz w:val="32"/>
          <w:szCs w:val="32"/>
          <w:lang w:val="en-US" w:eastAsia="zh-CN"/>
        </w:rPr>
        <w:t>2</w:t>
      </w:r>
      <w:r>
        <w:rPr>
          <w:rFonts w:hint="eastAsia" w:ascii="仿宋" w:hAnsi="仿宋" w:eastAsia="仿宋" w:cs="仿宋"/>
          <w:sz w:val="32"/>
          <w:szCs w:val="32"/>
        </w:rPr>
        <w:t>万元，主要为计算机设备、打印设备、空调、办公家具等</w:t>
      </w:r>
      <w:r>
        <w:rPr>
          <w:rFonts w:hint="eastAsia" w:ascii="仿宋" w:hAnsi="仿宋" w:eastAsia="仿宋" w:cs="仿宋"/>
          <w:sz w:val="32"/>
          <w:szCs w:val="32"/>
          <w:lang w:eastAsia="zh-CN"/>
        </w:rPr>
        <w:t>。</w:t>
      </w:r>
    </w:p>
    <w:tbl>
      <w:tblPr>
        <w:tblStyle w:val="12"/>
        <w:tblW w:w="13482" w:type="dxa"/>
        <w:tblInd w:w="93" w:type="dxa"/>
        <w:tblLayout w:type="fixed"/>
        <w:tblCellMar>
          <w:top w:w="0" w:type="dxa"/>
          <w:left w:w="108" w:type="dxa"/>
          <w:bottom w:w="0" w:type="dxa"/>
          <w:right w:w="108" w:type="dxa"/>
        </w:tblCellMar>
      </w:tblPr>
      <w:tblGrid>
        <w:gridCol w:w="5224"/>
        <w:gridCol w:w="3155"/>
        <w:gridCol w:w="5103"/>
      </w:tblGrid>
      <w:tr>
        <w:tblPrEx>
          <w:tblLayout w:type="fixed"/>
          <w:tblCellMar>
            <w:top w:w="0" w:type="dxa"/>
            <w:left w:w="108" w:type="dxa"/>
            <w:bottom w:w="0" w:type="dxa"/>
            <w:right w:w="108" w:type="dxa"/>
          </w:tblCellMar>
        </w:tblPrEx>
        <w:trPr>
          <w:trHeight w:val="705" w:hRule="atLeast"/>
        </w:trPr>
        <w:tc>
          <w:tcPr>
            <w:tcW w:w="13482" w:type="dxa"/>
            <w:gridSpan w:val="3"/>
            <w:tcBorders>
              <w:top w:val="nil"/>
              <w:left w:val="nil"/>
              <w:bottom w:val="nil"/>
              <w:right w:val="nil"/>
            </w:tcBorders>
            <w:shd w:val="clear" w:color="auto" w:fill="auto"/>
            <w:vAlign w:val="center"/>
          </w:tcPr>
          <w:p>
            <w:pPr>
              <w:widowControl/>
              <w:jc w:val="center"/>
              <w:rPr>
                <w:rFonts w:ascii="宋体" w:hAnsi="宋体" w:eastAsia="宋体" w:cs="宋体"/>
                <w:b/>
                <w:bCs/>
                <w:kern w:val="0"/>
                <w:sz w:val="32"/>
                <w:szCs w:val="32"/>
              </w:rPr>
            </w:pPr>
            <w:r>
              <w:rPr>
                <w:rFonts w:hint="eastAsia" w:ascii="宋体" w:hAnsi="宋体" w:eastAsia="宋体" w:cs="宋体"/>
                <w:b/>
                <w:bCs/>
                <w:kern w:val="0"/>
                <w:sz w:val="32"/>
                <w:szCs w:val="32"/>
                <w:lang w:eastAsia="zh-CN"/>
              </w:rPr>
              <w:t>石家庄市鹿泉区广播电视台</w:t>
            </w:r>
            <w:r>
              <w:rPr>
                <w:rFonts w:hint="eastAsia" w:ascii="宋体" w:hAnsi="宋体" w:eastAsia="宋体" w:cs="宋体"/>
                <w:b/>
                <w:bCs/>
                <w:kern w:val="0"/>
                <w:sz w:val="32"/>
                <w:szCs w:val="32"/>
              </w:rPr>
              <w:t>固定资产占用情况表</w:t>
            </w:r>
          </w:p>
        </w:tc>
      </w:tr>
      <w:tr>
        <w:tblPrEx>
          <w:tblLayout w:type="fixed"/>
          <w:tblCellMar>
            <w:top w:w="0" w:type="dxa"/>
            <w:left w:w="108" w:type="dxa"/>
            <w:bottom w:w="0" w:type="dxa"/>
            <w:right w:w="108" w:type="dxa"/>
          </w:tblCellMar>
        </w:tblPrEx>
        <w:trPr>
          <w:trHeight w:val="510" w:hRule="atLeast"/>
        </w:trPr>
        <w:tc>
          <w:tcPr>
            <w:tcW w:w="8379" w:type="dxa"/>
            <w:gridSpan w:val="2"/>
            <w:tcBorders>
              <w:top w:val="nil"/>
              <w:left w:val="nil"/>
              <w:bottom w:val="nil"/>
              <w:right w:val="nil"/>
            </w:tcBorders>
            <w:shd w:val="clear" w:color="auto" w:fill="auto"/>
            <w:vAlign w:val="center"/>
          </w:tcPr>
          <w:p>
            <w:pPr>
              <w:widowControl/>
              <w:jc w:val="left"/>
              <w:rPr>
                <w:rFonts w:ascii="宋体" w:hAnsi="宋体" w:eastAsia="宋体" w:cs="宋体"/>
                <w:kern w:val="0"/>
                <w:sz w:val="22"/>
              </w:rPr>
            </w:pPr>
            <w:r>
              <w:rPr>
                <w:rFonts w:hint="eastAsia" w:ascii="宋体" w:hAnsi="宋体" w:eastAsia="宋体" w:cs="宋体"/>
                <w:kern w:val="0"/>
                <w:sz w:val="22"/>
              </w:rPr>
              <w:t>编制部门：</w:t>
            </w:r>
            <w:r>
              <w:rPr>
                <w:rFonts w:hint="eastAsia" w:ascii="宋体" w:hAnsi="宋体" w:eastAsia="宋体" w:cs="宋体"/>
                <w:kern w:val="0"/>
                <w:sz w:val="22"/>
                <w:lang w:eastAsia="zh-CN"/>
              </w:rPr>
              <w:t>石家庄市鹿泉区广播电视台</w:t>
            </w:r>
          </w:p>
        </w:tc>
        <w:tc>
          <w:tcPr>
            <w:tcW w:w="5103" w:type="dxa"/>
            <w:tcBorders>
              <w:top w:val="nil"/>
              <w:left w:val="nil"/>
              <w:bottom w:val="nil"/>
              <w:right w:val="nil"/>
            </w:tcBorders>
            <w:shd w:val="clear" w:color="auto" w:fill="auto"/>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截止时间：2018年12月31日  </w:t>
            </w:r>
          </w:p>
        </w:tc>
      </w:tr>
      <w:tr>
        <w:tblPrEx>
          <w:tblLayout w:type="fixed"/>
          <w:tblCellMar>
            <w:top w:w="0" w:type="dxa"/>
            <w:left w:w="108" w:type="dxa"/>
            <w:bottom w:w="0" w:type="dxa"/>
            <w:right w:w="108" w:type="dxa"/>
          </w:tblCellMar>
        </w:tblPrEx>
        <w:trPr>
          <w:trHeight w:val="645" w:hRule="atLeast"/>
        </w:trPr>
        <w:tc>
          <w:tcPr>
            <w:tcW w:w="522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项   目</w:t>
            </w:r>
          </w:p>
        </w:tc>
        <w:tc>
          <w:tcPr>
            <w:tcW w:w="315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数量</w:t>
            </w:r>
          </w:p>
        </w:tc>
        <w:tc>
          <w:tcPr>
            <w:tcW w:w="510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价值（金额单位：万元）</w:t>
            </w:r>
          </w:p>
        </w:tc>
      </w:tr>
      <w:tr>
        <w:tblPrEx>
          <w:tblLayout w:type="fixed"/>
          <w:tblCellMar>
            <w:top w:w="0" w:type="dxa"/>
            <w:left w:w="108" w:type="dxa"/>
            <w:bottom w:w="0" w:type="dxa"/>
            <w:right w:w="108" w:type="dxa"/>
          </w:tblCellMar>
        </w:tblPrEx>
        <w:trPr>
          <w:trHeight w:val="645" w:hRule="atLeast"/>
        </w:trPr>
        <w:tc>
          <w:tcPr>
            <w:tcW w:w="522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资产总额</w:t>
            </w:r>
          </w:p>
        </w:tc>
        <w:tc>
          <w:tcPr>
            <w:tcW w:w="315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2"/>
              </w:rPr>
            </w:pPr>
            <w:r>
              <w:rPr>
                <w:rFonts w:ascii="Times New Roman" w:hAnsi="Times New Roman" w:eastAsia="宋体" w:cs="Times New Roman"/>
                <w:kern w:val="0"/>
                <w:sz w:val="22"/>
              </w:rPr>
              <w:t>——</w:t>
            </w:r>
          </w:p>
        </w:tc>
        <w:tc>
          <w:tcPr>
            <w:tcW w:w="5103"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宋体" w:cs="Times New Roman"/>
                <w:kern w:val="0"/>
                <w:sz w:val="22"/>
                <w:lang w:val="en-US" w:eastAsia="zh-CN"/>
              </w:rPr>
            </w:pPr>
            <w:r>
              <w:rPr>
                <w:rFonts w:hint="eastAsia" w:ascii="Times New Roman" w:hAnsi="Times New Roman" w:eastAsia="宋体" w:cs="Times New Roman"/>
                <w:kern w:val="0"/>
                <w:sz w:val="22"/>
                <w:lang w:val="en-US" w:eastAsia="zh-CN"/>
              </w:rPr>
              <w:t>1156.878742</w:t>
            </w:r>
          </w:p>
        </w:tc>
      </w:tr>
      <w:tr>
        <w:tblPrEx>
          <w:tblLayout w:type="fixed"/>
          <w:tblCellMar>
            <w:top w:w="0" w:type="dxa"/>
            <w:left w:w="108" w:type="dxa"/>
            <w:bottom w:w="0" w:type="dxa"/>
            <w:right w:w="108" w:type="dxa"/>
          </w:tblCellMar>
        </w:tblPrEx>
        <w:trPr>
          <w:trHeight w:val="645" w:hRule="atLeast"/>
        </w:trPr>
        <w:tc>
          <w:tcPr>
            <w:tcW w:w="5224"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kern w:val="0"/>
                <w:sz w:val="22"/>
              </w:rPr>
            </w:pPr>
            <w:r>
              <w:rPr>
                <w:rFonts w:hint="eastAsia" w:ascii="宋体" w:hAnsi="宋体" w:eastAsia="宋体" w:cs="宋体"/>
                <w:kern w:val="0"/>
                <w:sz w:val="22"/>
              </w:rPr>
              <w:t>1、房屋（平方米）</w:t>
            </w:r>
          </w:p>
        </w:tc>
        <w:tc>
          <w:tcPr>
            <w:tcW w:w="3155" w:type="dxa"/>
            <w:tcBorders>
              <w:top w:val="nil"/>
              <w:left w:val="nil"/>
              <w:bottom w:val="single" w:color="auto" w:sz="4" w:space="0"/>
              <w:right w:val="single" w:color="auto" w:sz="4" w:space="0"/>
            </w:tcBorders>
            <w:shd w:val="clear" w:color="auto" w:fill="auto"/>
            <w:vAlign w:val="center"/>
          </w:tcPr>
          <w:p>
            <w:pPr>
              <w:jc w:val="center"/>
              <w:rPr>
                <w:rFonts w:hint="eastAsia" w:ascii="Times New Roman" w:hAnsi="Times New Roman" w:cs="Times New Roman" w:eastAsiaTheme="minorEastAsia"/>
                <w:sz w:val="22"/>
                <w:lang w:val="en-US" w:eastAsia="zh-CN"/>
              </w:rPr>
            </w:pPr>
            <w:r>
              <w:rPr>
                <w:rFonts w:hint="eastAsia" w:ascii="Times New Roman" w:hAnsi="Times New Roman" w:cs="Times New Roman"/>
                <w:sz w:val="22"/>
                <w:lang w:val="en-US" w:eastAsia="zh-CN"/>
              </w:rPr>
              <w:t>3090</w:t>
            </w:r>
          </w:p>
        </w:tc>
        <w:tc>
          <w:tcPr>
            <w:tcW w:w="5103" w:type="dxa"/>
            <w:tcBorders>
              <w:top w:val="nil"/>
              <w:left w:val="nil"/>
              <w:bottom w:val="single" w:color="auto" w:sz="4" w:space="0"/>
              <w:right w:val="single" w:color="auto" w:sz="4" w:space="0"/>
            </w:tcBorders>
            <w:shd w:val="clear" w:color="auto" w:fill="auto"/>
            <w:vAlign w:val="center"/>
          </w:tcPr>
          <w:p>
            <w:pPr>
              <w:jc w:val="center"/>
              <w:rPr>
                <w:rFonts w:hint="eastAsia" w:ascii="Times New Roman" w:hAnsi="Times New Roman" w:cs="Times New Roman" w:eastAsiaTheme="minorEastAsia"/>
                <w:sz w:val="22"/>
                <w:lang w:val="en-US" w:eastAsia="zh-CN"/>
              </w:rPr>
            </w:pPr>
            <w:r>
              <w:rPr>
                <w:rFonts w:hint="eastAsia" w:ascii="Times New Roman" w:hAnsi="Times New Roman" w:cs="Times New Roman"/>
                <w:sz w:val="22"/>
                <w:lang w:val="en-US" w:eastAsia="zh-CN"/>
              </w:rPr>
              <w:t>316.2362</w:t>
            </w:r>
          </w:p>
        </w:tc>
      </w:tr>
      <w:tr>
        <w:tblPrEx>
          <w:tblLayout w:type="fixed"/>
          <w:tblCellMar>
            <w:top w:w="0" w:type="dxa"/>
            <w:left w:w="108" w:type="dxa"/>
            <w:bottom w:w="0" w:type="dxa"/>
            <w:right w:w="108" w:type="dxa"/>
          </w:tblCellMar>
        </w:tblPrEx>
        <w:trPr>
          <w:trHeight w:val="645" w:hRule="atLeast"/>
        </w:trPr>
        <w:tc>
          <w:tcPr>
            <w:tcW w:w="5224"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其中：办公用房（平方米）</w:t>
            </w:r>
          </w:p>
        </w:tc>
        <w:tc>
          <w:tcPr>
            <w:tcW w:w="3155" w:type="dxa"/>
            <w:tcBorders>
              <w:top w:val="nil"/>
              <w:left w:val="nil"/>
              <w:bottom w:val="single" w:color="auto" w:sz="4" w:space="0"/>
              <w:right w:val="single" w:color="auto" w:sz="4" w:space="0"/>
            </w:tcBorders>
            <w:shd w:val="clear" w:color="auto" w:fill="auto"/>
            <w:vAlign w:val="center"/>
          </w:tcPr>
          <w:p>
            <w:pPr>
              <w:jc w:val="center"/>
              <w:rPr>
                <w:rFonts w:hint="eastAsia" w:ascii="Times New Roman" w:hAnsi="Times New Roman" w:cs="Times New Roman" w:eastAsiaTheme="minorEastAsia"/>
                <w:sz w:val="22"/>
                <w:lang w:val="en-US" w:eastAsia="zh-CN"/>
              </w:rPr>
            </w:pPr>
            <w:r>
              <w:rPr>
                <w:rFonts w:hint="eastAsia" w:ascii="Times New Roman" w:hAnsi="Times New Roman" w:cs="Times New Roman"/>
                <w:sz w:val="22"/>
                <w:lang w:val="en-US" w:eastAsia="zh-CN"/>
              </w:rPr>
              <w:t>3090</w:t>
            </w:r>
          </w:p>
        </w:tc>
        <w:tc>
          <w:tcPr>
            <w:tcW w:w="5103" w:type="dxa"/>
            <w:tcBorders>
              <w:top w:val="nil"/>
              <w:left w:val="nil"/>
              <w:bottom w:val="single" w:color="auto" w:sz="4" w:space="0"/>
              <w:right w:val="single" w:color="auto" w:sz="4" w:space="0"/>
            </w:tcBorders>
            <w:shd w:val="clear" w:color="auto" w:fill="auto"/>
            <w:vAlign w:val="center"/>
          </w:tcPr>
          <w:p>
            <w:pPr>
              <w:jc w:val="center"/>
              <w:rPr>
                <w:rFonts w:hint="eastAsia" w:ascii="Times New Roman" w:hAnsi="Times New Roman" w:cs="Times New Roman" w:eastAsiaTheme="minorEastAsia"/>
                <w:sz w:val="22"/>
                <w:lang w:val="en-US" w:eastAsia="zh-CN"/>
              </w:rPr>
            </w:pPr>
            <w:r>
              <w:rPr>
                <w:rFonts w:hint="eastAsia" w:ascii="Times New Roman" w:hAnsi="Times New Roman" w:cs="Times New Roman"/>
                <w:sz w:val="22"/>
                <w:lang w:val="en-US" w:eastAsia="zh-CN"/>
              </w:rPr>
              <w:t>316.2362</w:t>
            </w:r>
          </w:p>
        </w:tc>
      </w:tr>
      <w:tr>
        <w:tblPrEx>
          <w:tblLayout w:type="fixed"/>
          <w:tblCellMar>
            <w:top w:w="0" w:type="dxa"/>
            <w:left w:w="108" w:type="dxa"/>
            <w:bottom w:w="0" w:type="dxa"/>
            <w:right w:w="108" w:type="dxa"/>
          </w:tblCellMar>
        </w:tblPrEx>
        <w:trPr>
          <w:trHeight w:val="645" w:hRule="atLeast"/>
        </w:trPr>
        <w:tc>
          <w:tcPr>
            <w:tcW w:w="5224"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kern w:val="0"/>
                <w:sz w:val="22"/>
              </w:rPr>
            </w:pPr>
            <w:r>
              <w:rPr>
                <w:rFonts w:hint="eastAsia" w:ascii="宋体" w:hAnsi="宋体" w:eastAsia="宋体" w:cs="宋体"/>
                <w:kern w:val="0"/>
                <w:sz w:val="22"/>
              </w:rPr>
              <w:t>2、车辆（台、辆）</w:t>
            </w:r>
          </w:p>
        </w:tc>
        <w:tc>
          <w:tcPr>
            <w:tcW w:w="3155" w:type="dxa"/>
            <w:tcBorders>
              <w:top w:val="nil"/>
              <w:left w:val="nil"/>
              <w:bottom w:val="single" w:color="auto" w:sz="4" w:space="0"/>
              <w:right w:val="single" w:color="auto" w:sz="4" w:space="0"/>
            </w:tcBorders>
            <w:shd w:val="clear" w:color="auto" w:fill="auto"/>
            <w:vAlign w:val="center"/>
          </w:tcPr>
          <w:p>
            <w:pPr>
              <w:jc w:val="center"/>
              <w:rPr>
                <w:rFonts w:hint="eastAsia" w:ascii="Times New Roman" w:hAnsi="Times New Roman" w:cs="Times New Roman" w:eastAsiaTheme="minorEastAsia"/>
                <w:sz w:val="22"/>
                <w:lang w:eastAsia="zh-CN"/>
              </w:rPr>
            </w:pPr>
            <w:r>
              <w:rPr>
                <w:rFonts w:hint="eastAsia" w:ascii="Times New Roman" w:hAnsi="Times New Roman" w:cs="Times New Roman"/>
                <w:sz w:val="22"/>
                <w:lang w:val="en-US" w:eastAsia="zh-CN"/>
              </w:rPr>
              <w:t>2</w:t>
            </w:r>
          </w:p>
        </w:tc>
        <w:tc>
          <w:tcPr>
            <w:tcW w:w="5103" w:type="dxa"/>
            <w:tcBorders>
              <w:top w:val="nil"/>
              <w:left w:val="nil"/>
              <w:bottom w:val="single" w:color="auto" w:sz="4" w:space="0"/>
              <w:right w:val="single" w:color="auto" w:sz="4" w:space="0"/>
            </w:tcBorders>
            <w:shd w:val="clear" w:color="auto" w:fill="auto"/>
            <w:vAlign w:val="center"/>
          </w:tcPr>
          <w:p>
            <w:pPr>
              <w:jc w:val="center"/>
              <w:rPr>
                <w:rFonts w:hint="eastAsia" w:ascii="Times New Roman" w:hAnsi="Times New Roman" w:cs="Times New Roman" w:eastAsiaTheme="minorEastAsia"/>
                <w:sz w:val="22"/>
                <w:lang w:val="en-US" w:eastAsia="zh-CN"/>
              </w:rPr>
            </w:pPr>
            <w:r>
              <w:rPr>
                <w:rFonts w:hint="eastAsia" w:ascii="Times New Roman" w:hAnsi="Times New Roman" w:cs="Times New Roman"/>
                <w:sz w:val="22"/>
                <w:lang w:val="en-US" w:eastAsia="zh-CN"/>
              </w:rPr>
              <w:t>36.7191</w:t>
            </w:r>
          </w:p>
        </w:tc>
      </w:tr>
      <w:tr>
        <w:tblPrEx>
          <w:tblLayout w:type="fixed"/>
          <w:tblCellMar>
            <w:top w:w="0" w:type="dxa"/>
            <w:left w:w="108" w:type="dxa"/>
            <w:bottom w:w="0" w:type="dxa"/>
            <w:right w:w="108" w:type="dxa"/>
          </w:tblCellMar>
        </w:tblPrEx>
        <w:trPr>
          <w:trHeight w:val="645" w:hRule="atLeast"/>
        </w:trPr>
        <w:tc>
          <w:tcPr>
            <w:tcW w:w="5224"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kern w:val="0"/>
                <w:sz w:val="22"/>
              </w:rPr>
            </w:pPr>
            <w:r>
              <w:rPr>
                <w:rFonts w:hint="eastAsia" w:ascii="宋体" w:hAnsi="宋体" w:eastAsia="宋体" w:cs="宋体"/>
                <w:kern w:val="0"/>
                <w:sz w:val="22"/>
              </w:rPr>
              <w:t>3、单价在20万元以上的设备</w:t>
            </w:r>
          </w:p>
        </w:tc>
        <w:tc>
          <w:tcPr>
            <w:tcW w:w="3155" w:type="dxa"/>
            <w:tcBorders>
              <w:top w:val="nil"/>
              <w:left w:val="nil"/>
              <w:bottom w:val="single" w:color="auto" w:sz="4" w:space="0"/>
              <w:right w:val="single" w:color="auto" w:sz="4" w:space="0"/>
            </w:tcBorders>
            <w:shd w:val="clear" w:color="auto" w:fill="auto"/>
            <w:vAlign w:val="center"/>
          </w:tcPr>
          <w:p>
            <w:pPr>
              <w:jc w:val="center"/>
              <w:rPr>
                <w:rFonts w:ascii="Times New Roman" w:hAnsi="Times New Roman" w:cs="Times New Roman"/>
                <w:sz w:val="22"/>
              </w:rPr>
            </w:pPr>
          </w:p>
        </w:tc>
        <w:tc>
          <w:tcPr>
            <w:tcW w:w="5103" w:type="dxa"/>
            <w:tcBorders>
              <w:top w:val="nil"/>
              <w:left w:val="nil"/>
              <w:bottom w:val="single" w:color="auto" w:sz="4" w:space="0"/>
              <w:right w:val="single" w:color="auto" w:sz="4" w:space="0"/>
            </w:tcBorders>
            <w:shd w:val="clear" w:color="auto" w:fill="auto"/>
            <w:vAlign w:val="center"/>
          </w:tcPr>
          <w:p>
            <w:pPr>
              <w:jc w:val="center"/>
              <w:rPr>
                <w:rFonts w:hint="eastAsia" w:ascii="Times New Roman" w:hAnsi="Times New Roman" w:cs="Times New Roman" w:eastAsiaTheme="minorEastAsia"/>
                <w:sz w:val="22"/>
                <w:lang w:eastAsia="zh-CN"/>
              </w:rPr>
            </w:pPr>
            <w:r>
              <w:rPr>
                <w:rFonts w:hint="eastAsia" w:ascii="Times New Roman" w:hAnsi="Times New Roman" w:cs="Times New Roman"/>
                <w:sz w:val="22"/>
                <w:lang w:val="en-US" w:eastAsia="zh-CN"/>
              </w:rPr>
              <w:t>0</w:t>
            </w:r>
          </w:p>
        </w:tc>
      </w:tr>
      <w:tr>
        <w:tblPrEx>
          <w:tblLayout w:type="fixed"/>
          <w:tblCellMar>
            <w:top w:w="0" w:type="dxa"/>
            <w:left w:w="108" w:type="dxa"/>
            <w:bottom w:w="0" w:type="dxa"/>
            <w:right w:w="108" w:type="dxa"/>
          </w:tblCellMar>
        </w:tblPrEx>
        <w:trPr>
          <w:trHeight w:val="645" w:hRule="atLeast"/>
        </w:trPr>
        <w:tc>
          <w:tcPr>
            <w:tcW w:w="5224"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kern w:val="0"/>
                <w:sz w:val="22"/>
              </w:rPr>
            </w:pPr>
            <w:r>
              <w:rPr>
                <w:rFonts w:hint="eastAsia" w:ascii="宋体" w:hAnsi="宋体" w:eastAsia="宋体" w:cs="宋体"/>
                <w:kern w:val="0"/>
                <w:sz w:val="22"/>
              </w:rPr>
              <w:t>4、其他固定资产</w:t>
            </w:r>
          </w:p>
        </w:tc>
        <w:tc>
          <w:tcPr>
            <w:tcW w:w="3155" w:type="dxa"/>
            <w:tcBorders>
              <w:top w:val="nil"/>
              <w:left w:val="nil"/>
              <w:bottom w:val="single" w:color="auto" w:sz="4" w:space="0"/>
              <w:right w:val="single" w:color="auto" w:sz="4" w:space="0"/>
            </w:tcBorders>
            <w:shd w:val="clear" w:color="auto" w:fill="auto"/>
            <w:vAlign w:val="center"/>
          </w:tcPr>
          <w:p>
            <w:pPr>
              <w:jc w:val="center"/>
              <w:rPr>
                <w:rFonts w:ascii="Times New Roman" w:hAnsi="Times New Roman" w:cs="Times New Roman"/>
                <w:sz w:val="22"/>
              </w:rPr>
            </w:pPr>
          </w:p>
        </w:tc>
        <w:tc>
          <w:tcPr>
            <w:tcW w:w="5103" w:type="dxa"/>
            <w:tcBorders>
              <w:top w:val="nil"/>
              <w:left w:val="nil"/>
              <w:bottom w:val="single" w:color="auto" w:sz="4" w:space="0"/>
              <w:right w:val="single" w:color="auto" w:sz="4" w:space="0"/>
            </w:tcBorders>
            <w:shd w:val="clear" w:color="auto" w:fill="auto"/>
            <w:vAlign w:val="center"/>
          </w:tcPr>
          <w:p>
            <w:pPr>
              <w:jc w:val="center"/>
              <w:rPr>
                <w:rFonts w:hint="eastAsia" w:ascii="Times New Roman" w:hAnsi="Times New Roman" w:cs="Times New Roman" w:eastAsiaTheme="minorEastAsia"/>
                <w:sz w:val="22"/>
                <w:lang w:val="en-US" w:eastAsia="zh-CN"/>
              </w:rPr>
            </w:pPr>
            <w:r>
              <w:rPr>
                <w:rFonts w:hint="eastAsia" w:ascii="Times New Roman" w:hAnsi="Times New Roman" w:cs="Times New Roman"/>
                <w:sz w:val="22"/>
                <w:lang w:val="en-US" w:eastAsia="zh-CN"/>
              </w:rPr>
              <w:t>755.8198</w:t>
            </w:r>
          </w:p>
        </w:tc>
      </w:tr>
    </w:tbl>
    <w:p>
      <w:pPr>
        <w:autoSpaceDE w:val="0"/>
        <w:autoSpaceDN w:val="0"/>
        <w:adjustRightInd w:val="0"/>
        <w:ind w:left="198" w:firstLine="640" w:firstLineChars="200"/>
        <w:jc w:val="left"/>
        <w:rPr>
          <w:rFonts w:ascii="黑体" w:hAnsi="黑体" w:eastAsia="黑体" w:cs="Times New Roman"/>
          <w:sz w:val="32"/>
          <w:szCs w:val="32"/>
        </w:rPr>
      </w:pPr>
      <w:r>
        <w:rPr>
          <w:rFonts w:hint="eastAsia" w:ascii="黑体" w:hAnsi="黑体" w:eastAsia="黑体" w:cs="Times New Roman"/>
          <w:sz w:val="32"/>
          <w:szCs w:val="32"/>
        </w:rPr>
        <w:t>八、名词解释</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1、一般公共预算拨款收入：指省级财政当年拨付的资金。</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2、事业收入：指事业单位开展专业业务活动及辅助活动所取得的收入。</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3、其他收入：指除“一般公共预算拨款收入”、“事业收入”等以外的收入。主要是按规定动用的租房收入、存款利息收入等。</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4、基本支出：指为保障机构正常运转、完成日常工作任务而发生的人员支出和公用支出。</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5、项目支出：指在基本支出之外为完成特定行政任务和事业发展目标所发生的支出。</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6、上缴上级支出：指下级单位上缴上级的支出。</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7、“三公”经费：纳入</w:t>
      </w:r>
      <w:r>
        <w:rPr>
          <w:rFonts w:hint="eastAsia" w:ascii="仿宋" w:hAnsi="仿宋" w:eastAsia="仿宋" w:cs="仿宋"/>
          <w:sz w:val="32"/>
          <w:szCs w:val="32"/>
          <w:lang w:eastAsia="zh-CN"/>
        </w:rPr>
        <w:t>区级</w:t>
      </w:r>
      <w:r>
        <w:rPr>
          <w:rFonts w:hint="eastAsia" w:ascii="仿宋" w:hAnsi="仿宋" w:eastAsia="仿宋" w:cs="仿宋"/>
          <w:sz w:val="32"/>
          <w:szCs w:val="32"/>
        </w:rPr>
        <w:t>财政预算管理的“三公”经费，是指</w:t>
      </w:r>
      <w:r>
        <w:rPr>
          <w:rFonts w:hint="eastAsia" w:ascii="仿宋" w:hAnsi="仿宋" w:eastAsia="仿宋" w:cs="仿宋"/>
          <w:sz w:val="32"/>
          <w:szCs w:val="32"/>
          <w:lang w:eastAsia="zh-CN"/>
        </w:rPr>
        <w:t>区直</w:t>
      </w:r>
      <w:r>
        <w:rPr>
          <w:rFonts w:hint="eastAsia" w:ascii="仿宋" w:hAnsi="仿宋" w:eastAsia="仿宋" w:cs="仿宋"/>
          <w:sz w:val="32"/>
          <w:szCs w:val="32"/>
        </w:rPr>
        <w:t>部门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8、机关运行费：是指各部门的公用经费，包括办公及印刷费、邮电费、差旅费、会议费、福利费、日常维修费、专用材料及一般设备购置费、办公用房水电费、办公用房取暖费、办公用房物业管理费、公务用车运行维护费以及其他费用。</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9、上年结转：指以前年度尚未完成、结转到本年仍按原规定用途继续使用的资金。</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10、事业单位经营支出：指事业单位在专业业务活动及其辅助活动之外开展非独立核算经营活动发生的支出。</w:t>
      </w:r>
    </w:p>
    <w:p>
      <w:pPr>
        <w:autoSpaceDE w:val="0"/>
        <w:autoSpaceDN w:val="0"/>
        <w:adjustRightInd w:val="0"/>
        <w:ind w:left="198" w:firstLine="640" w:firstLineChars="200"/>
        <w:jc w:val="left"/>
        <w:rPr>
          <w:rFonts w:ascii="黑体" w:hAnsi="黑体" w:eastAsia="黑体" w:cs="Times New Roman"/>
          <w:sz w:val="32"/>
          <w:szCs w:val="32"/>
        </w:rPr>
      </w:pPr>
      <w:r>
        <w:rPr>
          <w:rFonts w:hint="eastAsia" w:ascii="黑体" w:hAnsi="黑体" w:eastAsia="黑体" w:cs="Times New Roman"/>
          <w:sz w:val="32"/>
          <w:szCs w:val="32"/>
        </w:rPr>
        <w:t>九、其他需要说明的事项</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我部门无其他需要说明的事项。</w:t>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Arial Unicode MS"/>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仿宋_GBK">
    <w:altName w:val="Arial Unicode MS"/>
    <w:panose1 w:val="00000000000000000000"/>
    <w:charset w:val="86"/>
    <w:family w:val="script"/>
    <w:pitch w:val="default"/>
    <w:sig w:usb0="00000000" w:usb1="00000000" w:usb2="00000010" w:usb3="00000000" w:csb0="00040000" w:csb1="00000000"/>
  </w:font>
  <w:font w:name="方正书宋_GBK">
    <w:altName w:val="Arial Unicode MS"/>
    <w:panose1 w:val="00000000000000000000"/>
    <w:charset w:val="86"/>
    <w:family w:val="script"/>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方正书宋_GBK">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6032"/>
    <w:rsid w:val="00034786"/>
    <w:rsid w:val="00037AF6"/>
    <w:rsid w:val="00042F57"/>
    <w:rsid w:val="0006483E"/>
    <w:rsid w:val="00075D5F"/>
    <w:rsid w:val="0008102F"/>
    <w:rsid w:val="000B529B"/>
    <w:rsid w:val="000C3A19"/>
    <w:rsid w:val="001245BB"/>
    <w:rsid w:val="001251A3"/>
    <w:rsid w:val="00165294"/>
    <w:rsid w:val="001B4EF3"/>
    <w:rsid w:val="001F7873"/>
    <w:rsid w:val="00241FD4"/>
    <w:rsid w:val="00251B12"/>
    <w:rsid w:val="00296113"/>
    <w:rsid w:val="002A673A"/>
    <w:rsid w:val="002C07BE"/>
    <w:rsid w:val="002C5E13"/>
    <w:rsid w:val="002C62BC"/>
    <w:rsid w:val="002E0EB8"/>
    <w:rsid w:val="002F3E58"/>
    <w:rsid w:val="0030542C"/>
    <w:rsid w:val="00311B7A"/>
    <w:rsid w:val="00372FA3"/>
    <w:rsid w:val="003D417F"/>
    <w:rsid w:val="003F60E9"/>
    <w:rsid w:val="004248B8"/>
    <w:rsid w:val="00424943"/>
    <w:rsid w:val="0043175C"/>
    <w:rsid w:val="00437296"/>
    <w:rsid w:val="00451590"/>
    <w:rsid w:val="00451871"/>
    <w:rsid w:val="004631FC"/>
    <w:rsid w:val="004706DE"/>
    <w:rsid w:val="00472923"/>
    <w:rsid w:val="00496109"/>
    <w:rsid w:val="004B0C3A"/>
    <w:rsid w:val="004D5788"/>
    <w:rsid w:val="004E3066"/>
    <w:rsid w:val="004E74CD"/>
    <w:rsid w:val="00516E04"/>
    <w:rsid w:val="00565588"/>
    <w:rsid w:val="00572067"/>
    <w:rsid w:val="00573562"/>
    <w:rsid w:val="00590ECE"/>
    <w:rsid w:val="00592ADD"/>
    <w:rsid w:val="00614A29"/>
    <w:rsid w:val="00643AA7"/>
    <w:rsid w:val="00673D76"/>
    <w:rsid w:val="00674CD7"/>
    <w:rsid w:val="006854F0"/>
    <w:rsid w:val="006B1C4A"/>
    <w:rsid w:val="006B610D"/>
    <w:rsid w:val="006E49F5"/>
    <w:rsid w:val="007013C8"/>
    <w:rsid w:val="00717B1E"/>
    <w:rsid w:val="00753836"/>
    <w:rsid w:val="0075393C"/>
    <w:rsid w:val="00754592"/>
    <w:rsid w:val="00776C08"/>
    <w:rsid w:val="007C219A"/>
    <w:rsid w:val="007E1DA8"/>
    <w:rsid w:val="007F6C26"/>
    <w:rsid w:val="00813208"/>
    <w:rsid w:val="008334AE"/>
    <w:rsid w:val="00836FED"/>
    <w:rsid w:val="0083724E"/>
    <w:rsid w:val="00845CD2"/>
    <w:rsid w:val="00852B0D"/>
    <w:rsid w:val="00881692"/>
    <w:rsid w:val="00883D1A"/>
    <w:rsid w:val="008A25C2"/>
    <w:rsid w:val="008A6576"/>
    <w:rsid w:val="008B3CC5"/>
    <w:rsid w:val="008B52CD"/>
    <w:rsid w:val="008E4261"/>
    <w:rsid w:val="008F4662"/>
    <w:rsid w:val="00905D08"/>
    <w:rsid w:val="00922AEB"/>
    <w:rsid w:val="00925753"/>
    <w:rsid w:val="009425F4"/>
    <w:rsid w:val="00966C5C"/>
    <w:rsid w:val="00973104"/>
    <w:rsid w:val="00995BF0"/>
    <w:rsid w:val="009A16D5"/>
    <w:rsid w:val="009A353D"/>
    <w:rsid w:val="009B0B77"/>
    <w:rsid w:val="009B511E"/>
    <w:rsid w:val="00A44E3D"/>
    <w:rsid w:val="00A72D2E"/>
    <w:rsid w:val="00A74447"/>
    <w:rsid w:val="00A74CE5"/>
    <w:rsid w:val="00A911E7"/>
    <w:rsid w:val="00A939D9"/>
    <w:rsid w:val="00B07D9E"/>
    <w:rsid w:val="00B20712"/>
    <w:rsid w:val="00B43238"/>
    <w:rsid w:val="00B45DD3"/>
    <w:rsid w:val="00B52632"/>
    <w:rsid w:val="00B727A9"/>
    <w:rsid w:val="00B75216"/>
    <w:rsid w:val="00B91D52"/>
    <w:rsid w:val="00B9490F"/>
    <w:rsid w:val="00BA1ACD"/>
    <w:rsid w:val="00BD09F8"/>
    <w:rsid w:val="00CA7176"/>
    <w:rsid w:val="00CB3D48"/>
    <w:rsid w:val="00CB4665"/>
    <w:rsid w:val="00CC75B0"/>
    <w:rsid w:val="00CD2773"/>
    <w:rsid w:val="00CE143B"/>
    <w:rsid w:val="00D0024A"/>
    <w:rsid w:val="00D27003"/>
    <w:rsid w:val="00DB4A9B"/>
    <w:rsid w:val="00E167C7"/>
    <w:rsid w:val="00E2482E"/>
    <w:rsid w:val="00E73D47"/>
    <w:rsid w:val="00EC47F6"/>
    <w:rsid w:val="00EE156D"/>
    <w:rsid w:val="00EE65B8"/>
    <w:rsid w:val="00F149E2"/>
    <w:rsid w:val="00F66032"/>
    <w:rsid w:val="00F87C1E"/>
    <w:rsid w:val="00F958C2"/>
    <w:rsid w:val="0F406F90"/>
    <w:rsid w:val="10054587"/>
    <w:rsid w:val="36801CC7"/>
    <w:rsid w:val="40794B5C"/>
    <w:rsid w:val="44D670AC"/>
    <w:rsid w:val="51065E65"/>
    <w:rsid w:val="5F941408"/>
    <w:rsid w:val="69151576"/>
    <w:rsid w:val="6C727C91"/>
    <w:rsid w:val="7A5133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uiPriority="99" w:name="annotation text"/>
    <w:lsdException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semiHidden="0"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uiPriority w:val="1"/>
  </w:style>
  <w:style w:type="table" w:default="1" w:styleId="12">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15"/>
    <w:unhideWhenUsed/>
    <w:uiPriority w:val="99"/>
    <w:rPr>
      <w:sz w:val="18"/>
      <w:szCs w:val="18"/>
    </w:rPr>
  </w:style>
  <w:style w:type="paragraph" w:styleId="3">
    <w:name w:val="footer"/>
    <w:basedOn w:val="1"/>
    <w:link w:val="14"/>
    <w:qFormat/>
    <w:uiPriority w:val="99"/>
    <w:pPr>
      <w:tabs>
        <w:tab w:val="center" w:pos="4153"/>
        <w:tab w:val="right" w:pos="8306"/>
      </w:tabs>
      <w:snapToGrid w:val="0"/>
      <w:jc w:val="left"/>
    </w:pPr>
    <w:rPr>
      <w:rFonts w:ascii="Times New Roman" w:hAnsi="Times New Roman" w:eastAsia="宋体" w:cs="Times New Roman"/>
      <w:sz w:val="18"/>
      <w:szCs w:val="18"/>
    </w:rPr>
  </w:style>
  <w:style w:type="paragraph" w:styleId="4">
    <w:name w:val="header"/>
    <w:basedOn w:val="1"/>
    <w:link w:val="13"/>
    <w:uiPriority w:val="99"/>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5">
    <w:name w:val="toc 1"/>
    <w:basedOn w:val="1"/>
    <w:next w:val="1"/>
    <w:qFormat/>
    <w:uiPriority w:val="39"/>
    <w:rPr>
      <w:rFonts w:ascii="Times New Roman" w:hAnsi="Times New Roman" w:eastAsia="宋体" w:cs="Times New Roman"/>
      <w:szCs w:val="24"/>
    </w:rPr>
  </w:style>
  <w:style w:type="paragraph" w:styleId="6">
    <w:name w:val="footnote text"/>
    <w:basedOn w:val="1"/>
    <w:link w:val="17"/>
    <w:unhideWhenUsed/>
    <w:qFormat/>
    <w:uiPriority w:val="99"/>
    <w:pPr>
      <w:snapToGrid w:val="0"/>
      <w:jc w:val="left"/>
    </w:pPr>
    <w:rPr>
      <w:rFonts w:ascii="Calibri" w:hAnsi="Calibri" w:eastAsia="宋体" w:cs="Times New Roman"/>
      <w:sz w:val="18"/>
      <w:szCs w:val="18"/>
    </w:rPr>
  </w:style>
  <w:style w:type="paragraph" w:styleId="7">
    <w:name w:val="toc 2"/>
    <w:basedOn w:val="1"/>
    <w:next w:val="1"/>
    <w:qFormat/>
    <w:uiPriority w:val="39"/>
    <w:pPr>
      <w:ind w:left="420" w:leftChars="200"/>
    </w:pPr>
    <w:rPr>
      <w:rFonts w:ascii="Times New Roman" w:hAnsi="Times New Roman" w:eastAsia="宋体" w:cs="Times New Roman"/>
      <w:szCs w:val="24"/>
    </w:rPr>
  </w:style>
  <w:style w:type="character" w:styleId="9">
    <w:name w:val="page number"/>
    <w:unhideWhenUsed/>
    <w:qFormat/>
    <w:uiPriority w:val="99"/>
  </w:style>
  <w:style w:type="character" w:styleId="10">
    <w:name w:val="Hyperlink"/>
    <w:unhideWhenUsed/>
    <w:qFormat/>
    <w:uiPriority w:val="99"/>
    <w:rPr>
      <w:color w:val="0000FF"/>
      <w:u w:val="single"/>
    </w:rPr>
  </w:style>
  <w:style w:type="character" w:styleId="11">
    <w:name w:val="footnote reference"/>
    <w:unhideWhenUsed/>
    <w:qFormat/>
    <w:uiPriority w:val="99"/>
    <w:rPr>
      <w:vertAlign w:val="superscript"/>
    </w:rPr>
  </w:style>
  <w:style w:type="character" w:customStyle="1" w:styleId="13">
    <w:name w:val="页眉 Char"/>
    <w:basedOn w:val="8"/>
    <w:link w:val="4"/>
    <w:qFormat/>
    <w:uiPriority w:val="99"/>
    <w:rPr>
      <w:rFonts w:ascii="Times New Roman" w:hAnsi="Times New Roman" w:eastAsia="宋体" w:cs="Times New Roman"/>
      <w:sz w:val="18"/>
      <w:szCs w:val="18"/>
    </w:rPr>
  </w:style>
  <w:style w:type="character" w:customStyle="1" w:styleId="14">
    <w:name w:val="页脚 Char"/>
    <w:basedOn w:val="8"/>
    <w:link w:val="3"/>
    <w:qFormat/>
    <w:uiPriority w:val="99"/>
    <w:rPr>
      <w:rFonts w:ascii="Times New Roman" w:hAnsi="Times New Roman" w:eastAsia="宋体" w:cs="Times New Roman"/>
      <w:sz w:val="18"/>
      <w:szCs w:val="18"/>
    </w:rPr>
  </w:style>
  <w:style w:type="character" w:customStyle="1" w:styleId="15">
    <w:name w:val="批注框文本 Char"/>
    <w:basedOn w:val="8"/>
    <w:link w:val="2"/>
    <w:semiHidden/>
    <w:qFormat/>
    <w:uiPriority w:val="99"/>
    <w:rPr>
      <w:sz w:val="18"/>
      <w:szCs w:val="18"/>
    </w:rPr>
  </w:style>
  <w:style w:type="paragraph" w:customStyle="1" w:styleId="16">
    <w:name w:val="Default"/>
    <w:uiPriority w:val="0"/>
    <w:pPr>
      <w:widowControl w:val="0"/>
      <w:autoSpaceDE w:val="0"/>
      <w:autoSpaceDN w:val="0"/>
      <w:adjustRightInd w:val="0"/>
    </w:pPr>
    <w:rPr>
      <w:rFonts w:ascii="Times New Roman" w:hAnsi="Times New Roman" w:cs="Times New Roman" w:eastAsiaTheme="minorEastAsia"/>
      <w:color w:val="000000"/>
      <w:kern w:val="0"/>
      <w:sz w:val="24"/>
      <w:szCs w:val="24"/>
      <w:lang w:val="en-US" w:eastAsia="zh-CN" w:bidi="ar-SA"/>
    </w:rPr>
  </w:style>
  <w:style w:type="character" w:customStyle="1" w:styleId="17">
    <w:name w:val="脚注文本 Char"/>
    <w:basedOn w:val="8"/>
    <w:link w:val="6"/>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4425098-CEB7-4813-B90D-AE258FE74940}">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44</Pages>
  <Words>3066</Words>
  <Characters>17480</Characters>
  <Lines>145</Lines>
  <Paragraphs>41</Paragraphs>
  <TotalTime>1</TotalTime>
  <ScaleCrop>false</ScaleCrop>
  <LinksUpToDate>false</LinksUpToDate>
  <CharactersWithSpaces>20505</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2019-01-15T00:52:00Z</dcterms:created>
  <dc:creator>guest</dc:creator>
  <cp:lastModifiedBy>Administrator</cp:lastModifiedBy>
  <cp:lastPrinted>2017-11-09T01:12:00Z</cp:lastPrinted>
  <dcterms:modified xsi:type="dcterms:W3CDTF">2019-03-01T08:36:23Z</dcterms:modified>
  <dc:title>河北省财政厅2019年部门预算信息公开情况说明</dc:title>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