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0" w:firstLineChars="200"/>
        <w:jc w:val="center"/>
        <w:rPr>
          <w:rFonts w:hint="eastAsia" w:ascii="Times New Roman" w:hAnsi="Times New Roman" w:eastAsia="方正小标宋_GBK" w:cs="Times New Roman"/>
          <w:sz w:val="44"/>
          <w:szCs w:val="44"/>
          <w:lang w:eastAsia="zh-CN"/>
        </w:rPr>
      </w:pPr>
      <w:r>
        <w:rPr>
          <w:rFonts w:hint="eastAsia" w:ascii="Times New Roman" w:hAnsi="Times New Roman" w:eastAsia="方正小标宋_GBK" w:cs="Times New Roman"/>
          <w:sz w:val="44"/>
          <w:szCs w:val="44"/>
          <w:lang w:eastAsia="zh-CN"/>
        </w:rPr>
        <w:t>石家庄市鹿泉区住房和城乡建设局</w:t>
      </w:r>
    </w:p>
    <w:p>
      <w:pPr>
        <w:ind w:firstLine="880" w:firstLineChars="200"/>
        <w:jc w:val="center"/>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201</w:t>
      </w:r>
      <w:r>
        <w:rPr>
          <w:rFonts w:hint="eastAsia" w:ascii="Times New Roman" w:hAnsi="Times New Roman" w:eastAsia="方正小标宋_GBK" w:cs="Times New Roman"/>
          <w:sz w:val="44"/>
          <w:szCs w:val="44"/>
        </w:rPr>
        <w:t>9</w:t>
      </w:r>
      <w:r>
        <w:rPr>
          <w:rFonts w:ascii="Times New Roman" w:hAnsi="Times New Roman" w:eastAsia="方正小标宋_GBK" w:cs="Times New Roman"/>
          <w:sz w:val="44"/>
          <w:szCs w:val="44"/>
        </w:rPr>
        <w:t>年部门预算信息公开</w:t>
      </w:r>
      <w:r>
        <w:rPr>
          <w:rFonts w:hint="eastAsia" w:ascii="Times New Roman" w:hAnsi="Times New Roman" w:eastAsia="方正小标宋_GBK" w:cs="Times New Roman"/>
          <w:sz w:val="44"/>
          <w:szCs w:val="44"/>
        </w:rPr>
        <w:t>情况说明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按照《预算法》、《地方预决算公开操作规程》和《河北省省级预算公开办法》规定，现将</w:t>
      </w:r>
      <w:r>
        <w:rPr>
          <w:rFonts w:hint="eastAsia" w:ascii="仿宋" w:hAnsi="仿宋" w:eastAsia="仿宋" w:cs="仿宋"/>
          <w:sz w:val="32"/>
          <w:szCs w:val="32"/>
          <w:lang w:eastAsia="zh-CN"/>
        </w:rPr>
        <w:t>石家庄市鹿泉区住房和城乡建设局</w:t>
      </w:r>
      <w:r>
        <w:rPr>
          <w:rFonts w:hint="eastAsia" w:ascii="仿宋" w:hAnsi="仿宋" w:eastAsia="仿宋" w:cs="仿宋"/>
          <w:sz w:val="32"/>
          <w:szCs w:val="32"/>
        </w:rPr>
        <w:t>2019年部门预算公开如下：</w:t>
      </w:r>
    </w:p>
    <w:p>
      <w:pPr>
        <w:ind w:firstLine="640"/>
        <w:rPr>
          <w:rFonts w:ascii="黑体" w:hAnsi="黑体" w:eastAsia="黑体" w:cs="Times New Roman"/>
          <w:sz w:val="32"/>
          <w:szCs w:val="32"/>
        </w:rPr>
      </w:pPr>
      <w:r>
        <w:rPr>
          <w:rFonts w:hint="eastAsia" w:ascii="黑体" w:hAnsi="黑体" w:eastAsia="黑体" w:cs="Times New Roman"/>
          <w:sz w:val="32"/>
          <w:szCs w:val="32"/>
        </w:rPr>
        <w:t>一、部门职责及机构设置情况</w:t>
      </w:r>
    </w:p>
    <w:p>
      <w:pPr>
        <w:ind w:firstLine="640" w:firstLineChars="200"/>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部门</w:t>
      </w:r>
      <w:r>
        <w:rPr>
          <w:rFonts w:ascii="Times New Roman" w:hAnsi="Times New Roman" w:eastAsia="方正仿宋_GBK" w:cs="Times New Roman"/>
          <w:b/>
          <w:sz w:val="32"/>
          <w:szCs w:val="32"/>
        </w:rPr>
        <w:t>职责：</w:t>
      </w:r>
    </w:p>
    <w:p>
      <w:pPr>
        <w:keepNext w:val="0"/>
        <w:keepLines w:val="0"/>
        <w:pageBreakBefore w:val="0"/>
        <w:widowControl w:val="0"/>
        <w:kinsoku/>
        <w:wordWrap/>
        <w:overflowPunct/>
        <w:topLinePunct w:val="0"/>
        <w:autoSpaceDE w:val="0"/>
        <w:autoSpaceDN w:val="0"/>
        <w:bidi w:val="0"/>
        <w:adjustRightInd w:val="0"/>
        <w:spacing w:line="578" w:lineRule="exact"/>
        <w:ind w:right="198" w:firstLine="640" w:firstLineChars="200"/>
        <w:textAlignment w:val="auto"/>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w:t>
      </w:r>
      <w:r>
        <w:rPr>
          <w:rFonts w:hint="eastAsia" w:ascii="仿宋_GB2312" w:hAnsi="仿宋_GB2312" w:eastAsia="仿宋_GB2312" w:cs="仿宋_GB2312"/>
          <w:b w:val="0"/>
          <w:bCs w:val="0"/>
          <w:color w:val="000000"/>
          <w:sz w:val="32"/>
          <w:szCs w:val="32"/>
        </w:rPr>
        <w:t>贯彻执行国家、省和石家庄市关于住房和城乡建设工作的方针、政策和法律、法规、规章，拟订我区</w:t>
      </w:r>
      <w:r>
        <w:rPr>
          <w:rFonts w:hint="eastAsia" w:ascii="仿宋_GB2312" w:hAnsi="仿宋_GB2312" w:eastAsia="仿宋_GB2312" w:cs="仿宋_GB2312"/>
          <w:b w:val="0"/>
          <w:bCs w:val="0"/>
          <w:color w:val="000000"/>
          <w:sz w:val="32"/>
          <w:szCs w:val="32"/>
          <w:lang w:eastAsia="zh-CN"/>
        </w:rPr>
        <w:t>住房和城乡建设行业</w:t>
      </w:r>
      <w:r>
        <w:rPr>
          <w:rFonts w:hint="eastAsia" w:ascii="仿宋_GB2312" w:hAnsi="仿宋_GB2312" w:eastAsia="仿宋_GB2312" w:cs="仿宋_GB2312"/>
          <w:b w:val="0"/>
          <w:bCs w:val="0"/>
          <w:color w:val="000000"/>
          <w:sz w:val="32"/>
          <w:szCs w:val="32"/>
        </w:rPr>
        <w:t>地方性实施细则和办法，并指导实施</w:t>
      </w:r>
      <w:r>
        <w:rPr>
          <w:rFonts w:hint="eastAsia" w:ascii="仿宋_GB2312" w:hAnsi="仿宋_GB2312" w:eastAsia="仿宋_GB2312" w:cs="仿宋_GB2312"/>
          <w:b w:val="0"/>
          <w:bCs w:val="0"/>
          <w:color w:val="000000"/>
          <w:sz w:val="32"/>
          <w:szCs w:val="32"/>
          <w:lang w:eastAsia="zh-CN"/>
        </w:rPr>
        <w:t>和进行行业监管</w:t>
      </w:r>
      <w:r>
        <w:rPr>
          <w:rFonts w:hint="eastAsia" w:ascii="仿宋_GB2312" w:hAnsi="仿宋_GB2312" w:eastAsia="仿宋_GB2312" w:cs="仿宋_GB2312"/>
          <w:b w:val="0"/>
          <w:bCs w:val="0"/>
          <w:color w:val="000000"/>
          <w:sz w:val="32"/>
          <w:szCs w:val="32"/>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（2）</w:t>
      </w:r>
      <w:r>
        <w:rPr>
          <w:rFonts w:hint="eastAsia" w:ascii="仿宋_GB2312" w:hAnsi="仿宋_GB2312" w:eastAsia="仿宋_GB2312" w:cs="仿宋_GB2312"/>
          <w:b w:val="0"/>
          <w:bCs w:val="0"/>
          <w:color w:val="000000"/>
          <w:sz w:val="32"/>
          <w:szCs w:val="32"/>
        </w:rPr>
        <w:t>编制城市建设中长期计划和年度计划，编制城市建设的工程概(预)算方案。编制村镇建设专项资金和其它专项资金的年度使用计划并监督实施。</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（3）</w:t>
      </w:r>
      <w:r>
        <w:rPr>
          <w:rFonts w:hint="eastAsia" w:ascii="仿宋_GB2312" w:hAnsi="仿宋_GB2312" w:eastAsia="仿宋_GB2312" w:cs="仿宋_GB2312"/>
          <w:b w:val="0"/>
          <w:bCs w:val="0"/>
          <w:color w:val="000000"/>
          <w:sz w:val="32"/>
          <w:szCs w:val="32"/>
        </w:rPr>
        <w:t>综合管理全区城镇建设</w:t>
      </w:r>
      <w:r>
        <w:rPr>
          <w:rFonts w:hint="eastAsia" w:ascii="仿宋_GB2312" w:hAnsi="仿宋_GB2312" w:eastAsia="仿宋_GB2312" w:cs="仿宋_GB2312"/>
          <w:b w:val="0"/>
          <w:bCs w:val="0"/>
          <w:color w:val="000000"/>
          <w:sz w:val="32"/>
          <w:szCs w:val="32"/>
          <w:lang w:eastAsia="zh-CN"/>
        </w:rPr>
        <w:t>、抗震设防及评价工作</w:t>
      </w:r>
      <w:r>
        <w:rPr>
          <w:rFonts w:hint="eastAsia" w:ascii="仿宋_GB2312" w:hAnsi="仿宋_GB2312" w:eastAsia="仿宋_GB2312" w:cs="仿宋_GB2312"/>
          <w:b w:val="0"/>
          <w:bCs w:val="0"/>
          <w:color w:val="000000"/>
          <w:sz w:val="32"/>
          <w:szCs w:val="32"/>
        </w:rPr>
        <w:t>。</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（4）</w:t>
      </w:r>
      <w:r>
        <w:rPr>
          <w:rFonts w:hint="eastAsia" w:ascii="仿宋_GB2312" w:hAnsi="仿宋_GB2312" w:eastAsia="仿宋_GB2312" w:cs="仿宋_GB2312"/>
          <w:b w:val="0"/>
          <w:bCs w:val="0"/>
          <w:color w:val="000000"/>
          <w:sz w:val="32"/>
          <w:szCs w:val="32"/>
        </w:rPr>
        <w:t>负责全区建筑市场管理。负责工程项目（包括城市基础设施建设）的报建、招投标、工程监理、质量监督、安全生产、文明施工和竣工验收备案的管理。</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（5）</w:t>
      </w:r>
      <w:r>
        <w:rPr>
          <w:rFonts w:hint="eastAsia" w:ascii="仿宋_GB2312" w:hAnsi="仿宋_GB2312" w:eastAsia="仿宋_GB2312" w:cs="仿宋_GB2312"/>
          <w:b w:val="0"/>
          <w:bCs w:val="0"/>
          <w:color w:val="000000"/>
          <w:sz w:val="32"/>
          <w:szCs w:val="32"/>
        </w:rPr>
        <w:t>负责全区勘察设计业及建设咨询业、工程造价和标准管理。培育、规范勘察设计市场，负责施工图设计文件审查、勘察设计质量管理。</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lang w:val="en-US" w:eastAsia="zh-CN"/>
        </w:rPr>
        <w:t>6）负</w:t>
      </w:r>
      <w:r>
        <w:rPr>
          <w:rFonts w:hint="eastAsia" w:ascii="仿宋_GB2312" w:hAnsi="仿宋_GB2312" w:eastAsia="仿宋_GB2312" w:cs="仿宋_GB2312"/>
          <w:b w:val="0"/>
          <w:bCs w:val="0"/>
          <w:color w:val="000000"/>
          <w:sz w:val="32"/>
          <w:szCs w:val="32"/>
        </w:rPr>
        <w:t>责全区污水处理厂的行业管理。</w:t>
      </w:r>
    </w:p>
    <w:p>
      <w:pPr>
        <w:keepNext w:val="0"/>
        <w:keepLines w:val="0"/>
        <w:pageBreakBefore w:val="0"/>
        <w:widowControl w:val="0"/>
        <w:kinsoku/>
        <w:wordWrap/>
        <w:overflowPunct/>
        <w:topLinePunct w:val="0"/>
        <w:autoSpaceDE/>
        <w:autoSpaceDN/>
        <w:bidi w:val="0"/>
        <w:snapToGrid/>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（7）</w:t>
      </w:r>
      <w:r>
        <w:rPr>
          <w:rFonts w:hint="eastAsia" w:ascii="仿宋_GB2312" w:hAnsi="仿宋_GB2312" w:eastAsia="仿宋_GB2312" w:cs="仿宋_GB2312"/>
          <w:b w:val="0"/>
          <w:bCs w:val="0"/>
          <w:color w:val="000000"/>
          <w:sz w:val="32"/>
          <w:szCs w:val="32"/>
          <w:lang w:eastAsia="zh-CN"/>
        </w:rPr>
        <w:t>负责全区燃气行业管理工作</w:t>
      </w:r>
      <w:r>
        <w:rPr>
          <w:rFonts w:hint="eastAsia" w:ascii="仿宋_GB2312" w:hAnsi="仿宋_GB2312" w:eastAsia="仿宋_GB2312" w:cs="仿宋_GB2312"/>
          <w:b w:val="0"/>
          <w:bCs w:val="0"/>
          <w:color w:val="000000"/>
          <w:sz w:val="32"/>
          <w:szCs w:val="32"/>
        </w:rPr>
        <w:t>。</w:t>
      </w:r>
    </w:p>
    <w:p>
      <w:pPr>
        <w:keepNext w:val="0"/>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rPr>
        <w:t>负责组织建设科技成果转化及新技术、新材料、新设备、新工艺的推广应用；负责住宅产业化、建筑节能、墙体材料革新、粉煤灰综合利用管理工作。</w:t>
      </w:r>
    </w:p>
    <w:p>
      <w:pPr>
        <w:keepNext w:val="0"/>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（9）</w:t>
      </w:r>
      <w:r>
        <w:rPr>
          <w:rFonts w:hint="eastAsia" w:ascii="仿宋_GB2312" w:hAnsi="仿宋_GB2312" w:eastAsia="仿宋_GB2312" w:cs="仿宋_GB2312"/>
          <w:b w:val="0"/>
          <w:bCs w:val="0"/>
          <w:color w:val="000000"/>
          <w:sz w:val="32"/>
          <w:szCs w:val="32"/>
        </w:rPr>
        <w:t>负责全区房地产开发业监管及城市建设综合开发管理；</w:t>
      </w:r>
      <w:r>
        <w:rPr>
          <w:rFonts w:hint="eastAsia" w:ascii="仿宋_GB2312" w:hAnsi="仿宋_GB2312" w:eastAsia="仿宋_GB2312" w:cs="仿宋_GB2312"/>
          <w:b w:val="0"/>
          <w:bCs w:val="0"/>
          <w:color w:val="000000"/>
          <w:sz w:val="32"/>
          <w:szCs w:val="32"/>
          <w:lang w:eastAsia="zh-CN"/>
        </w:rPr>
        <w:t>负责全区国有土地上房屋征收与补偿工作，对房屋征收活动进行协调和督导检查</w:t>
      </w:r>
      <w:r>
        <w:rPr>
          <w:rFonts w:hint="eastAsia" w:ascii="仿宋_GB2312" w:hAnsi="仿宋_GB2312" w:eastAsia="仿宋_GB2312" w:cs="仿宋_GB2312"/>
          <w:b w:val="0"/>
          <w:bCs w:val="0"/>
          <w:color w:val="000000"/>
          <w:sz w:val="32"/>
          <w:szCs w:val="32"/>
        </w:rPr>
        <w:t>；负责全区物业管理、房屋交易、房屋安全管理工作。</w:t>
      </w:r>
    </w:p>
    <w:p>
      <w:pPr>
        <w:keepNext w:val="0"/>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（10）</w:t>
      </w:r>
      <w:r>
        <w:rPr>
          <w:rFonts w:hint="eastAsia" w:ascii="仿宋_GB2312" w:hAnsi="仿宋_GB2312" w:eastAsia="仿宋_GB2312" w:cs="仿宋_GB2312"/>
          <w:b w:val="0"/>
          <w:bCs w:val="0"/>
          <w:color w:val="000000"/>
          <w:sz w:val="32"/>
          <w:szCs w:val="32"/>
        </w:rPr>
        <w:t>负责全区住房制度改革工作，贯彻落实城镇</w:t>
      </w:r>
      <w:r>
        <w:rPr>
          <w:rFonts w:hint="eastAsia" w:ascii="仿宋_GB2312" w:hAnsi="仿宋_GB2312" w:eastAsia="仿宋_GB2312" w:cs="仿宋_GB2312"/>
          <w:b w:val="0"/>
          <w:bCs w:val="0"/>
          <w:color w:val="000000"/>
          <w:sz w:val="32"/>
          <w:szCs w:val="32"/>
          <w:lang w:eastAsia="zh-CN"/>
        </w:rPr>
        <w:t>中</w:t>
      </w:r>
      <w:r>
        <w:rPr>
          <w:rFonts w:hint="eastAsia" w:ascii="仿宋_GB2312" w:hAnsi="仿宋_GB2312" w:eastAsia="仿宋_GB2312" w:cs="仿宋_GB2312"/>
          <w:b w:val="0"/>
          <w:bCs w:val="0"/>
          <w:color w:val="000000"/>
          <w:sz w:val="32"/>
          <w:szCs w:val="32"/>
        </w:rPr>
        <w:t>低收入家庭住房保障政策。</w:t>
      </w:r>
    </w:p>
    <w:p>
      <w:pPr>
        <w:keepNext w:val="0"/>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lang w:eastAsia="zh-CN"/>
        </w:rPr>
      </w:pPr>
      <w:r>
        <w:rPr>
          <w:rFonts w:hint="eastAsia" w:ascii="仿宋_GB2312" w:hAnsi="仿宋_GB2312" w:eastAsia="仿宋_GB2312" w:cs="仿宋_GB2312"/>
          <w:b w:val="0"/>
          <w:bCs w:val="0"/>
          <w:color w:val="000000"/>
          <w:sz w:val="32"/>
          <w:szCs w:val="32"/>
          <w:lang w:val="en-US" w:eastAsia="zh-CN"/>
        </w:rPr>
        <w:t>（11）</w:t>
      </w:r>
      <w:r>
        <w:rPr>
          <w:rFonts w:hint="eastAsia" w:ascii="仿宋_GB2312" w:hAnsi="仿宋_GB2312" w:eastAsia="仿宋_GB2312" w:cs="仿宋_GB2312"/>
          <w:b w:val="0"/>
          <w:bCs w:val="0"/>
          <w:color w:val="000000"/>
          <w:sz w:val="32"/>
          <w:szCs w:val="32"/>
          <w:lang w:eastAsia="zh-CN"/>
        </w:rPr>
        <w:t>根据</w:t>
      </w:r>
      <w:r>
        <w:rPr>
          <w:rFonts w:hint="eastAsia" w:ascii="仿宋_GB2312" w:hAnsi="仿宋_GB2312" w:eastAsia="仿宋_GB2312" w:cs="仿宋_GB2312"/>
          <w:b w:val="0"/>
          <w:bCs w:val="0"/>
          <w:color w:val="000000"/>
          <w:sz w:val="32"/>
          <w:szCs w:val="32"/>
        </w:rPr>
        <w:t>住房与城乡建设管理方面法律、法规、规章规定</w:t>
      </w:r>
      <w:r>
        <w:rPr>
          <w:rFonts w:hint="eastAsia" w:ascii="仿宋_GB2312" w:hAnsi="仿宋_GB2312" w:eastAsia="仿宋_GB2312" w:cs="仿宋_GB2312"/>
          <w:b w:val="0"/>
          <w:bCs w:val="0"/>
          <w:color w:val="000000"/>
          <w:sz w:val="32"/>
          <w:szCs w:val="32"/>
          <w:lang w:eastAsia="zh-CN"/>
        </w:rPr>
        <w:t>对违反</w:t>
      </w:r>
      <w:r>
        <w:rPr>
          <w:rFonts w:hint="eastAsia" w:ascii="仿宋_GB2312" w:hAnsi="仿宋_GB2312" w:eastAsia="仿宋_GB2312" w:cs="仿宋_GB2312"/>
          <w:b w:val="0"/>
          <w:bCs w:val="0"/>
          <w:color w:val="000000"/>
          <w:sz w:val="32"/>
          <w:szCs w:val="32"/>
        </w:rPr>
        <w:t>建筑工程施工许可规定开工建设，</w:t>
      </w:r>
      <w:r>
        <w:rPr>
          <w:rFonts w:hint="eastAsia" w:ascii="仿宋_GB2312" w:hAnsi="仿宋_GB2312" w:eastAsia="仿宋_GB2312" w:cs="仿宋_GB2312"/>
          <w:b w:val="0"/>
          <w:bCs w:val="0"/>
          <w:color w:val="000000"/>
          <w:sz w:val="32"/>
          <w:szCs w:val="32"/>
          <w:lang w:eastAsia="zh-CN"/>
        </w:rPr>
        <w:t>违反商品房预售许可擅自销售的违法行为，</w:t>
      </w:r>
      <w:r>
        <w:rPr>
          <w:rFonts w:hint="eastAsia" w:ascii="仿宋_GB2312" w:hAnsi="仿宋_GB2312" w:eastAsia="仿宋_GB2312" w:cs="仿宋_GB2312"/>
          <w:b w:val="0"/>
          <w:bCs w:val="0"/>
          <w:color w:val="000000"/>
          <w:sz w:val="32"/>
          <w:szCs w:val="32"/>
        </w:rPr>
        <w:t>实施</w:t>
      </w:r>
      <w:r>
        <w:rPr>
          <w:rFonts w:hint="eastAsia" w:ascii="仿宋_GB2312" w:hAnsi="仿宋_GB2312" w:eastAsia="仿宋_GB2312" w:cs="仿宋_GB2312"/>
          <w:b w:val="0"/>
          <w:bCs w:val="0"/>
          <w:color w:val="000000"/>
          <w:sz w:val="32"/>
          <w:szCs w:val="32"/>
          <w:lang w:eastAsia="zh-CN"/>
        </w:rPr>
        <w:t>查处和</w:t>
      </w:r>
      <w:r>
        <w:rPr>
          <w:rFonts w:hint="eastAsia" w:ascii="仿宋_GB2312" w:hAnsi="仿宋_GB2312" w:eastAsia="仿宋_GB2312" w:cs="仿宋_GB2312"/>
          <w:b w:val="0"/>
          <w:bCs w:val="0"/>
          <w:color w:val="000000"/>
          <w:sz w:val="32"/>
          <w:szCs w:val="32"/>
        </w:rPr>
        <w:t>行政处罚权</w:t>
      </w:r>
      <w:r>
        <w:rPr>
          <w:rFonts w:hint="eastAsia" w:ascii="仿宋_GB2312" w:hAnsi="仿宋_GB2312" w:eastAsia="仿宋_GB2312" w:cs="仿宋_GB2312"/>
          <w:b w:val="0"/>
          <w:bCs w:val="0"/>
          <w:color w:val="000000"/>
          <w:sz w:val="32"/>
          <w:szCs w:val="32"/>
          <w:lang w:eastAsia="zh-CN"/>
        </w:rPr>
        <w:t>。</w:t>
      </w:r>
    </w:p>
    <w:p>
      <w:pPr>
        <w:keepNext/>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（12）</w:t>
      </w:r>
      <w:r>
        <w:rPr>
          <w:rFonts w:hint="eastAsia" w:ascii="仿宋_GB2312" w:hAnsi="仿宋_GB2312" w:eastAsia="仿宋_GB2312" w:cs="仿宋_GB2312"/>
          <w:b w:val="0"/>
          <w:bCs w:val="0"/>
          <w:color w:val="000000"/>
          <w:sz w:val="32"/>
          <w:szCs w:val="32"/>
        </w:rPr>
        <w:t>负责全区城建档案归档与管理工作。</w:t>
      </w:r>
    </w:p>
    <w:p>
      <w:pPr>
        <w:keepNext/>
        <w:keepLines w:val="0"/>
        <w:pageBreakBefore w:val="0"/>
        <w:widowControl w:val="0"/>
        <w:kinsoku/>
        <w:wordWrap/>
        <w:overflowPunct/>
        <w:topLinePunct w:val="0"/>
        <w:autoSpaceDE/>
        <w:autoSpaceDN/>
        <w:bidi w:val="0"/>
        <w:adjustRightInd/>
        <w:snapToGrid w:val="0"/>
        <w:spacing w:line="578"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（13）</w:t>
      </w:r>
      <w:r>
        <w:rPr>
          <w:rFonts w:hint="eastAsia" w:ascii="仿宋_GB2312" w:hAnsi="仿宋_GB2312" w:eastAsia="仿宋_GB2312" w:cs="仿宋_GB2312"/>
          <w:b w:val="0"/>
          <w:bCs w:val="0"/>
          <w:color w:val="000000"/>
          <w:sz w:val="32"/>
          <w:szCs w:val="32"/>
        </w:rPr>
        <w:t>负责本系统党建、精神文明建设及信访稳定工作。</w:t>
      </w: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仿宋_GB2312" w:hAnsi="仿宋_GB2312" w:eastAsia="仿宋_GB2312" w:cs="仿宋_GB2312"/>
          <w:b w:val="0"/>
          <w:bCs w:val="0"/>
          <w:color w:val="000000"/>
          <w:sz w:val="32"/>
          <w:szCs w:val="32"/>
          <w:lang w:val="en-US" w:eastAsia="zh-CN"/>
        </w:rPr>
        <w:t>（14）</w:t>
      </w:r>
      <w:r>
        <w:rPr>
          <w:rFonts w:hint="eastAsia" w:ascii="仿宋_GB2312" w:hAnsi="仿宋_GB2312" w:eastAsia="仿宋_GB2312" w:cs="仿宋_GB2312"/>
          <w:b w:val="0"/>
          <w:bCs w:val="0"/>
          <w:color w:val="000000"/>
          <w:sz w:val="32"/>
          <w:szCs w:val="32"/>
        </w:rPr>
        <w:t>承办区政府交办的其它事项</w:t>
      </w:r>
      <w:r>
        <w:rPr>
          <w:rFonts w:hint="eastAsia" w:ascii="仿宋_GB2312" w:hAnsi="仿宋_GB2312" w:eastAsia="仿宋_GB2312" w:cs="仿宋_GB2312"/>
          <w:b w:val="0"/>
          <w:bCs w:val="0"/>
          <w:color w:val="000000"/>
          <w:sz w:val="32"/>
          <w:szCs w:val="32"/>
          <w:lang w:eastAsia="zh-CN"/>
        </w:rPr>
        <w:t>。</w:t>
      </w:r>
    </w:p>
    <w:p>
      <w:pPr>
        <w:autoSpaceDE w:val="0"/>
        <w:autoSpaceDN w:val="0"/>
        <w:adjustRightInd w:val="0"/>
        <w:jc w:val="left"/>
        <w:rPr>
          <w:rFonts w:hint="eastAsia" w:ascii="方正仿宋_GBK" w:hAnsi="Times New Roman" w:eastAsia="方正仿宋_GBK" w:cs="Times New Roman"/>
          <w:b/>
          <w:sz w:val="32"/>
          <w:szCs w:val="32"/>
        </w:rPr>
      </w:pPr>
    </w:p>
    <w:p>
      <w:pPr>
        <w:pStyle w:val="2"/>
        <w:rPr>
          <w:rFonts w:hint="eastAsia" w:ascii="方正仿宋_GBK" w:hAnsi="Times New Roman" w:eastAsia="方正仿宋_GBK" w:cs="Times New Roman"/>
          <w:b/>
          <w:sz w:val="32"/>
          <w:szCs w:val="32"/>
        </w:rPr>
      </w:pPr>
    </w:p>
    <w:p>
      <w:pPr>
        <w:pStyle w:val="2"/>
        <w:rPr>
          <w:rFonts w:hint="eastAsia" w:ascii="方正仿宋_GBK" w:hAnsi="Times New Roman" w:eastAsia="方正仿宋_GBK" w:cs="Times New Roman"/>
          <w:b/>
          <w:sz w:val="32"/>
          <w:szCs w:val="32"/>
        </w:rPr>
      </w:pPr>
    </w:p>
    <w:p>
      <w:pPr>
        <w:pStyle w:val="2"/>
        <w:rPr>
          <w:rFonts w:hint="eastAsia" w:ascii="方正仿宋_GBK" w:hAnsi="Times New Roman" w:eastAsia="方正仿宋_GBK" w:cs="Times New Roman"/>
          <w:b/>
          <w:sz w:val="32"/>
          <w:szCs w:val="32"/>
        </w:rPr>
      </w:pPr>
    </w:p>
    <w:p>
      <w:pPr>
        <w:autoSpaceDE w:val="0"/>
        <w:autoSpaceDN w:val="0"/>
        <w:adjustRightInd w:val="0"/>
        <w:ind w:left="198" w:firstLine="640" w:firstLineChars="200"/>
        <w:jc w:val="left"/>
        <w:rPr>
          <w:rFonts w:ascii="方正仿宋_GBK" w:hAnsi="Times New Roman" w:eastAsia="方正仿宋_GBK" w:cs="Times New Roman"/>
          <w:b/>
          <w:sz w:val="32"/>
          <w:szCs w:val="32"/>
        </w:rPr>
      </w:pPr>
      <w:r>
        <w:rPr>
          <w:rFonts w:hint="eastAsia" w:ascii="方正仿宋_GBK" w:hAnsi="Times New Roman" w:eastAsia="方正仿宋_GBK" w:cs="Times New Roman"/>
          <w:b/>
          <w:sz w:val="32"/>
          <w:szCs w:val="32"/>
        </w:rPr>
        <w:t>机构设置：</w:t>
      </w:r>
    </w:p>
    <w:p>
      <w:pPr>
        <w:jc w:val="center"/>
        <w:outlineLvl w:val="0"/>
        <w:rPr>
          <w:rFonts w:ascii="Times New Roman" w:hAnsi="Times New Roman" w:eastAsia="方正小标宋_GBK" w:cs="Times New Roman"/>
          <w:sz w:val="32"/>
          <w:szCs w:val="24"/>
        </w:rPr>
      </w:pPr>
    </w:p>
    <w:p>
      <w:pPr>
        <w:jc w:val="center"/>
        <w:outlineLvl w:val="0"/>
        <w:rPr>
          <w:rFonts w:ascii="Times New Roman" w:hAnsi="Times New Roman" w:eastAsia="方正小标宋_GBK" w:cs="Times New Roman"/>
          <w:sz w:val="32"/>
          <w:szCs w:val="24"/>
        </w:rPr>
      </w:pPr>
      <w:r>
        <w:rPr>
          <w:rFonts w:ascii="Times New Roman" w:hAnsi="Times New Roman" w:eastAsia="方正小标宋_GBK" w:cs="Times New Roman"/>
          <w:sz w:val="32"/>
          <w:szCs w:val="24"/>
        </w:rPr>
        <w:t>部门</w:t>
      </w:r>
      <w:r>
        <w:rPr>
          <w:rFonts w:hint="eastAsia" w:ascii="Times New Roman" w:hAnsi="Times New Roman" w:eastAsia="方正小标宋_GBK" w:cs="Times New Roman"/>
          <w:sz w:val="32"/>
          <w:szCs w:val="24"/>
        </w:rPr>
        <w:t>机构设置情况</w:t>
      </w:r>
    </w:p>
    <w:tbl>
      <w:tblPr>
        <w:tblStyle w:val="13"/>
        <w:tblW w:w="9782" w:type="dxa"/>
        <w:jc w:val="center"/>
        <w:tblInd w:w="-5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854"/>
        <w:gridCol w:w="810"/>
        <w:gridCol w:w="1845"/>
        <w:gridCol w:w="227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854"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单位名称</w:t>
            </w:r>
          </w:p>
        </w:tc>
        <w:tc>
          <w:tcPr>
            <w:tcW w:w="810"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单位性质</w:t>
            </w:r>
          </w:p>
        </w:tc>
        <w:tc>
          <w:tcPr>
            <w:tcW w:w="1845"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单位规格</w:t>
            </w:r>
          </w:p>
        </w:tc>
        <w:tc>
          <w:tcPr>
            <w:tcW w:w="2273" w:type="dxa"/>
            <w:vMerge w:val="restart"/>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经费保障形式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00" w:hRule="atLeast"/>
          <w:tblHeader/>
          <w:jc w:val="center"/>
        </w:trPr>
        <w:tc>
          <w:tcPr>
            <w:tcW w:w="4854" w:type="dxa"/>
            <w:vMerge w:val="continue"/>
            <w:shd w:val="clear" w:color="auto" w:fill="auto"/>
            <w:vAlign w:val="center"/>
          </w:tcPr>
          <w:p>
            <w:pPr>
              <w:spacing w:line="300" w:lineRule="exact"/>
              <w:jc w:val="left"/>
              <w:outlineLvl w:val="0"/>
            </w:pPr>
          </w:p>
        </w:tc>
        <w:tc>
          <w:tcPr>
            <w:tcW w:w="810" w:type="dxa"/>
            <w:vMerge w:val="continue"/>
            <w:shd w:val="clear" w:color="auto" w:fill="auto"/>
            <w:vAlign w:val="center"/>
          </w:tcPr>
          <w:p>
            <w:pPr>
              <w:spacing w:line="300" w:lineRule="exact"/>
              <w:jc w:val="left"/>
              <w:outlineLvl w:val="0"/>
            </w:pPr>
          </w:p>
        </w:tc>
        <w:tc>
          <w:tcPr>
            <w:tcW w:w="1845" w:type="dxa"/>
            <w:vMerge w:val="continue"/>
            <w:shd w:val="clear" w:color="auto" w:fill="auto"/>
            <w:vAlign w:val="center"/>
          </w:tcPr>
          <w:p>
            <w:pPr>
              <w:spacing w:line="300" w:lineRule="exact"/>
              <w:jc w:val="left"/>
              <w:outlineLvl w:val="0"/>
            </w:pPr>
          </w:p>
        </w:tc>
        <w:tc>
          <w:tcPr>
            <w:tcW w:w="2273" w:type="dxa"/>
            <w:vMerge w:val="continue"/>
            <w:shd w:val="clear" w:color="auto" w:fill="auto"/>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810" w:type="dxa"/>
            <w:shd w:val="clear" w:color="auto" w:fill="auto"/>
            <w:vAlign w:val="center"/>
          </w:tcPr>
          <w:p>
            <w:pPr>
              <w:spacing w:line="300" w:lineRule="exact"/>
              <w:jc w:val="center"/>
              <w:rPr>
                <w:rFonts w:ascii="方正书宋_GBK" w:eastAsia="方正书宋_GBK"/>
                <w:b/>
              </w:rPr>
            </w:pPr>
          </w:p>
        </w:tc>
        <w:tc>
          <w:tcPr>
            <w:tcW w:w="1845" w:type="dxa"/>
            <w:shd w:val="clear" w:color="auto" w:fill="auto"/>
            <w:vAlign w:val="center"/>
          </w:tcPr>
          <w:p>
            <w:pPr>
              <w:spacing w:line="300" w:lineRule="exact"/>
              <w:jc w:val="center"/>
              <w:rPr>
                <w:rFonts w:ascii="方正书宋_GBK" w:eastAsia="方正书宋_GBK"/>
                <w:b/>
              </w:rPr>
            </w:pPr>
          </w:p>
        </w:tc>
        <w:tc>
          <w:tcPr>
            <w:tcW w:w="2273" w:type="dxa"/>
            <w:shd w:val="clear" w:color="auto" w:fill="auto"/>
            <w:vAlign w:val="center"/>
          </w:tcPr>
          <w:p>
            <w:pPr>
              <w:spacing w:line="300" w:lineRule="exact"/>
              <w:jc w:val="center"/>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sz w:val="21"/>
                <w:szCs w:val="21"/>
                <w:lang w:eastAsia="zh-CN"/>
              </w:rPr>
              <w:t>石家庄市鹿泉区住房和城乡建设局</w:t>
            </w:r>
            <w:r>
              <w:rPr>
                <w:rFonts w:hint="eastAsia" w:ascii="仿宋" w:hAnsi="仿宋" w:eastAsia="仿宋" w:cs="仿宋"/>
                <w:sz w:val="21"/>
                <w:szCs w:val="21"/>
              </w:rPr>
              <w:t>（机关）</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行政</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w:t>
            </w:r>
            <w:r>
              <w:rPr>
                <w:rFonts w:hint="eastAsia" w:ascii="仿宋" w:hAnsi="仿宋" w:eastAsia="仿宋" w:cs="仿宋"/>
                <w:sz w:val="21"/>
                <w:szCs w:val="21"/>
                <w:lang w:eastAsia="zh-CN"/>
              </w:rPr>
              <w:t>科</w:t>
            </w:r>
            <w:r>
              <w:rPr>
                <w:rFonts w:hint="eastAsia" w:ascii="仿宋" w:hAnsi="仿宋" w:eastAsia="仿宋" w:cs="仿宋"/>
                <w:sz w:val="21"/>
                <w:szCs w:val="21"/>
              </w:rPr>
              <w:t>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sz w:val="21"/>
                <w:szCs w:val="21"/>
              </w:rPr>
              <w:t>石家庄市鹿泉区房屋征收中心</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正股级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sz w:val="21"/>
                <w:szCs w:val="21"/>
              </w:rPr>
              <w:t>石家庄市鹿泉区城市建设服务中心</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正股级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sz w:val="21"/>
                <w:szCs w:val="21"/>
              </w:rPr>
              <w:t>石家庄市鹿泉区建筑和房地产市场稽查大队</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正股级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sz w:val="21"/>
                <w:szCs w:val="21"/>
              </w:rPr>
              <w:t>石家庄市鹿泉区建筑业管理处</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正股级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color w:val="3D3D3D"/>
                <w:kern w:val="0"/>
                <w:sz w:val="21"/>
                <w:szCs w:val="21"/>
                <w:lang w:eastAsia="zh-CN"/>
              </w:rPr>
              <w:t>石家庄市</w:t>
            </w:r>
            <w:r>
              <w:rPr>
                <w:rFonts w:hint="eastAsia" w:ascii="仿宋" w:hAnsi="仿宋" w:eastAsia="仿宋" w:cs="仿宋"/>
                <w:color w:val="3D3D3D"/>
                <w:kern w:val="0"/>
                <w:sz w:val="21"/>
                <w:szCs w:val="21"/>
              </w:rPr>
              <w:t>鹿泉区廉租住房和经济适用住房管理中心</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w:t>
            </w:r>
            <w:r>
              <w:rPr>
                <w:rFonts w:hint="eastAsia" w:ascii="仿宋" w:hAnsi="仿宋" w:eastAsia="仿宋" w:cs="仿宋"/>
                <w:sz w:val="21"/>
                <w:szCs w:val="21"/>
                <w:lang w:eastAsia="zh-CN"/>
              </w:rPr>
              <w:t>科</w:t>
            </w:r>
            <w:r>
              <w:rPr>
                <w:rFonts w:hint="eastAsia" w:ascii="仿宋" w:hAnsi="仿宋" w:eastAsia="仿宋" w:cs="仿宋"/>
                <w:sz w:val="21"/>
                <w:szCs w:val="21"/>
              </w:rPr>
              <w:t>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4854" w:type="dxa"/>
            <w:shd w:val="clear" w:color="auto" w:fill="auto"/>
            <w:vAlign w:val="center"/>
          </w:tcPr>
          <w:p>
            <w:pPr>
              <w:spacing w:line="300" w:lineRule="exact"/>
              <w:jc w:val="left"/>
              <w:rPr>
                <w:rFonts w:hint="eastAsia" w:ascii="仿宋" w:hAnsi="仿宋" w:eastAsia="仿宋" w:cs="仿宋"/>
                <w:sz w:val="21"/>
                <w:szCs w:val="21"/>
              </w:rPr>
            </w:pPr>
            <w:r>
              <w:rPr>
                <w:rFonts w:hint="eastAsia" w:ascii="仿宋" w:hAnsi="仿宋" w:eastAsia="仿宋" w:cs="仿宋"/>
                <w:color w:val="3D3D3D"/>
                <w:kern w:val="0"/>
                <w:sz w:val="21"/>
                <w:szCs w:val="21"/>
                <w:lang w:eastAsia="zh-CN"/>
              </w:rPr>
              <w:t>石家庄市</w:t>
            </w:r>
            <w:r>
              <w:rPr>
                <w:rFonts w:hint="eastAsia" w:ascii="仿宋" w:hAnsi="仿宋" w:eastAsia="仿宋" w:cs="仿宋"/>
                <w:color w:val="3D3D3D"/>
                <w:kern w:val="0"/>
                <w:sz w:val="21"/>
                <w:szCs w:val="21"/>
              </w:rPr>
              <w:t>鹿泉区住房保障和房地产管理处</w:t>
            </w:r>
          </w:p>
        </w:tc>
        <w:tc>
          <w:tcPr>
            <w:tcW w:w="810"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事业</w:t>
            </w:r>
          </w:p>
        </w:tc>
        <w:tc>
          <w:tcPr>
            <w:tcW w:w="1845"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正股级</w:t>
            </w:r>
          </w:p>
        </w:tc>
        <w:tc>
          <w:tcPr>
            <w:tcW w:w="2273" w:type="dxa"/>
            <w:shd w:val="clear" w:color="auto" w:fill="auto"/>
            <w:vAlign w:val="center"/>
          </w:tcPr>
          <w:p>
            <w:pPr>
              <w:spacing w:line="300" w:lineRule="exact"/>
              <w:jc w:val="center"/>
              <w:rPr>
                <w:rFonts w:hint="eastAsia" w:ascii="仿宋" w:hAnsi="仿宋" w:eastAsia="仿宋" w:cs="仿宋"/>
                <w:sz w:val="21"/>
                <w:szCs w:val="21"/>
              </w:rPr>
            </w:pPr>
            <w:r>
              <w:rPr>
                <w:rFonts w:hint="eastAsia" w:ascii="仿宋" w:hAnsi="仿宋" w:eastAsia="仿宋" w:cs="仿宋"/>
                <w:sz w:val="21"/>
                <w:szCs w:val="21"/>
              </w:rPr>
              <w:t>财政性资金基本保</w:t>
            </w:r>
            <w:r>
              <w:rPr>
                <w:rFonts w:hint="eastAsia" w:ascii="仿宋" w:hAnsi="仿宋" w:eastAsia="仿宋" w:cs="仿宋"/>
                <w:sz w:val="21"/>
                <w:szCs w:val="21"/>
                <w:lang w:eastAsia="zh-CN"/>
              </w:rPr>
              <w:t>障</w:t>
            </w:r>
          </w:p>
        </w:tc>
      </w:tr>
    </w:tbl>
    <w:p>
      <w:pPr>
        <w:rPr>
          <w:rFonts w:hint="eastAsia" w:ascii="黑体" w:hAnsi="黑体" w:eastAsia="黑体" w:cs="Times New Roman"/>
          <w:sz w:val="32"/>
          <w:szCs w:val="32"/>
        </w:rPr>
      </w:pPr>
    </w:p>
    <w:p>
      <w:pPr>
        <w:ind w:firstLine="640"/>
        <w:rPr>
          <w:rFonts w:ascii="黑体" w:hAnsi="黑体" w:eastAsia="黑体" w:cs="Times New Roman"/>
          <w:sz w:val="32"/>
          <w:szCs w:val="32"/>
        </w:rPr>
      </w:pPr>
      <w:r>
        <w:rPr>
          <w:rFonts w:hint="eastAsia" w:ascii="黑体" w:hAnsi="黑体" w:eastAsia="黑体" w:cs="Times New Roman"/>
          <w:sz w:val="32"/>
          <w:szCs w:val="32"/>
        </w:rPr>
        <w:t>二、部门预算安排的总体情况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按照预算管理有关规定，目前我</w:t>
      </w:r>
      <w:r>
        <w:rPr>
          <w:rFonts w:hint="eastAsia" w:ascii="仿宋" w:hAnsi="仿宋" w:eastAsia="仿宋" w:cs="仿宋"/>
          <w:sz w:val="32"/>
          <w:szCs w:val="32"/>
          <w:lang w:eastAsia="zh-CN"/>
        </w:rPr>
        <w:t>单位</w:t>
      </w:r>
      <w:r>
        <w:rPr>
          <w:rFonts w:hint="eastAsia" w:ascii="仿宋" w:hAnsi="仿宋" w:eastAsia="仿宋" w:cs="仿宋"/>
          <w:sz w:val="32"/>
          <w:szCs w:val="32"/>
        </w:rPr>
        <w:t>预算的编制实行综合预算管理，即全部收入和支出都反映在预算中。</w:t>
      </w:r>
      <w:r>
        <w:rPr>
          <w:rFonts w:hint="eastAsia" w:ascii="仿宋" w:hAnsi="仿宋" w:eastAsia="仿宋" w:cs="仿宋"/>
          <w:sz w:val="32"/>
          <w:szCs w:val="32"/>
          <w:lang w:eastAsia="zh-CN"/>
        </w:rPr>
        <w:t>我单位</w:t>
      </w:r>
      <w:r>
        <w:rPr>
          <w:rFonts w:hint="eastAsia" w:ascii="仿宋" w:hAnsi="仿宋" w:eastAsia="仿宋" w:cs="仿宋"/>
          <w:sz w:val="32"/>
          <w:szCs w:val="32"/>
        </w:rPr>
        <w:t>机关及所属事业单位的收支包含在部门预算中。</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1、收入说明</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反映本部门当年全部收入。2019年预算收入</w:t>
      </w:r>
      <w:r>
        <w:rPr>
          <w:rFonts w:hint="eastAsia" w:ascii="仿宋" w:hAnsi="仿宋" w:eastAsia="仿宋" w:cs="仿宋"/>
          <w:sz w:val="32"/>
          <w:szCs w:val="32"/>
          <w:lang w:val="en-US" w:eastAsia="zh-CN"/>
        </w:rPr>
        <w:t>22721.04</w:t>
      </w:r>
      <w:r>
        <w:rPr>
          <w:rFonts w:hint="eastAsia" w:ascii="仿宋" w:hAnsi="仿宋" w:eastAsia="仿宋" w:cs="仿宋"/>
          <w:sz w:val="32"/>
          <w:szCs w:val="32"/>
        </w:rPr>
        <w:t>万元，其中：一般公共预算收入</w:t>
      </w:r>
      <w:r>
        <w:rPr>
          <w:rFonts w:hint="eastAsia" w:ascii="仿宋" w:hAnsi="仿宋" w:eastAsia="仿宋" w:cs="仿宋"/>
          <w:sz w:val="32"/>
          <w:szCs w:val="32"/>
          <w:lang w:val="en-US" w:eastAsia="zh-CN"/>
        </w:rPr>
        <w:t>17091.21</w:t>
      </w:r>
      <w:r>
        <w:rPr>
          <w:rFonts w:hint="eastAsia" w:ascii="仿宋" w:hAnsi="仿宋" w:eastAsia="仿宋" w:cs="仿宋"/>
          <w:sz w:val="32"/>
          <w:szCs w:val="32"/>
        </w:rPr>
        <w:t>万元，基金预算收入</w:t>
      </w:r>
      <w:r>
        <w:rPr>
          <w:rFonts w:hint="eastAsia" w:ascii="仿宋" w:hAnsi="仿宋" w:eastAsia="仿宋" w:cs="仿宋"/>
          <w:sz w:val="32"/>
          <w:szCs w:val="32"/>
          <w:lang w:val="en-US" w:eastAsia="zh-CN"/>
        </w:rPr>
        <w:t>5629.83</w:t>
      </w:r>
      <w:r>
        <w:rPr>
          <w:rFonts w:hint="eastAsia" w:ascii="仿宋" w:hAnsi="仿宋" w:eastAsia="仿宋" w:cs="仿宋"/>
          <w:sz w:val="32"/>
          <w:szCs w:val="32"/>
        </w:rPr>
        <w:t>万元，财政专户核拨收入0万元，其他来源收入</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2、支出说明</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收支预算总表支出栏、基本支出表、项目支出表按经济分类和支出功能分类科目编制，反映河北省财政厅年度部门预算中支出预算的总体情况。2019年支出预算</w:t>
      </w:r>
      <w:r>
        <w:rPr>
          <w:rFonts w:hint="eastAsia" w:ascii="仿宋" w:hAnsi="仿宋" w:eastAsia="仿宋" w:cs="仿宋"/>
          <w:sz w:val="32"/>
          <w:szCs w:val="32"/>
          <w:lang w:val="en-US" w:eastAsia="zh-CN"/>
        </w:rPr>
        <w:t>22721.04</w:t>
      </w:r>
      <w:r>
        <w:rPr>
          <w:rFonts w:hint="eastAsia" w:ascii="仿宋" w:hAnsi="仿宋" w:eastAsia="仿宋" w:cs="仿宋"/>
          <w:sz w:val="32"/>
          <w:szCs w:val="32"/>
        </w:rPr>
        <w:t>万元，其中基本支出</w:t>
      </w:r>
      <w:r>
        <w:rPr>
          <w:rFonts w:hint="eastAsia" w:ascii="仿宋" w:hAnsi="仿宋" w:eastAsia="仿宋" w:cs="仿宋"/>
          <w:sz w:val="32"/>
          <w:szCs w:val="32"/>
          <w:lang w:val="en-US" w:eastAsia="zh-CN"/>
        </w:rPr>
        <w:t>2884.7</w:t>
      </w:r>
      <w:r>
        <w:rPr>
          <w:rFonts w:hint="eastAsia" w:ascii="仿宋" w:hAnsi="仿宋" w:eastAsia="仿宋" w:cs="仿宋"/>
          <w:sz w:val="32"/>
          <w:szCs w:val="32"/>
        </w:rPr>
        <w:t>万元，包括人员经费</w:t>
      </w:r>
      <w:r>
        <w:rPr>
          <w:rFonts w:hint="eastAsia" w:ascii="仿宋" w:hAnsi="仿宋" w:eastAsia="仿宋" w:cs="仿宋"/>
          <w:sz w:val="32"/>
          <w:szCs w:val="32"/>
          <w:lang w:val="en-US" w:eastAsia="zh-CN"/>
        </w:rPr>
        <w:t>2457.89</w:t>
      </w:r>
      <w:r>
        <w:rPr>
          <w:rFonts w:hint="eastAsia" w:ascii="仿宋" w:hAnsi="仿宋" w:eastAsia="仿宋" w:cs="仿宋"/>
          <w:sz w:val="32"/>
          <w:szCs w:val="32"/>
        </w:rPr>
        <w:t>万元和日常公用经费</w:t>
      </w:r>
      <w:r>
        <w:rPr>
          <w:rFonts w:hint="eastAsia" w:ascii="仿宋" w:hAnsi="仿宋" w:eastAsia="仿宋" w:cs="仿宋"/>
          <w:sz w:val="32"/>
          <w:szCs w:val="32"/>
          <w:lang w:val="en-US" w:eastAsia="zh-CN"/>
        </w:rPr>
        <w:t>426.81</w:t>
      </w:r>
      <w:r>
        <w:rPr>
          <w:rFonts w:hint="eastAsia" w:ascii="仿宋" w:hAnsi="仿宋" w:eastAsia="仿宋" w:cs="仿宋"/>
          <w:sz w:val="32"/>
          <w:szCs w:val="32"/>
        </w:rPr>
        <w:t>万元；项目支出</w:t>
      </w:r>
      <w:r>
        <w:rPr>
          <w:rFonts w:hint="eastAsia" w:ascii="仿宋" w:hAnsi="仿宋" w:eastAsia="仿宋" w:cs="仿宋"/>
          <w:sz w:val="32"/>
          <w:szCs w:val="32"/>
          <w:lang w:val="en-US" w:eastAsia="zh-CN"/>
        </w:rPr>
        <w:t>19836.34</w:t>
      </w:r>
      <w:r>
        <w:rPr>
          <w:rFonts w:hint="eastAsia" w:ascii="仿宋" w:hAnsi="仿宋" w:eastAsia="仿宋" w:cs="仿宋"/>
          <w:sz w:val="32"/>
          <w:szCs w:val="32"/>
        </w:rPr>
        <w:t>万元，主要为</w:t>
      </w:r>
      <w:r>
        <w:rPr>
          <w:rFonts w:hint="eastAsia" w:ascii="仿宋" w:hAnsi="仿宋" w:eastAsia="仿宋" w:cs="仿宋"/>
          <w:sz w:val="32"/>
          <w:szCs w:val="32"/>
          <w:lang w:eastAsia="zh-CN"/>
        </w:rPr>
        <w:t>基础设施建设及大气污染防治</w:t>
      </w:r>
      <w:r>
        <w:rPr>
          <w:rFonts w:hint="eastAsia" w:ascii="仿宋" w:hAnsi="仿宋" w:eastAsia="仿宋" w:cs="仿宋"/>
          <w:sz w:val="32"/>
          <w:szCs w:val="32"/>
        </w:rPr>
        <w:t>等</w:t>
      </w:r>
      <w:r>
        <w:rPr>
          <w:rFonts w:hint="eastAsia" w:ascii="仿宋" w:hAnsi="仿宋" w:eastAsia="仿宋" w:cs="仿宋"/>
          <w:sz w:val="32"/>
          <w:szCs w:val="32"/>
          <w:lang w:eastAsia="zh-CN"/>
        </w:rPr>
        <w:t>。</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3、比上年增减情况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2019年预算收支安排</w:t>
      </w:r>
      <w:r>
        <w:rPr>
          <w:rFonts w:hint="eastAsia" w:ascii="仿宋" w:hAnsi="仿宋" w:eastAsia="仿宋" w:cs="仿宋"/>
          <w:sz w:val="32"/>
          <w:szCs w:val="32"/>
          <w:lang w:val="en-US" w:eastAsia="zh-CN"/>
        </w:rPr>
        <w:t>22721.04</w:t>
      </w:r>
      <w:r>
        <w:rPr>
          <w:rFonts w:hint="eastAsia" w:ascii="仿宋" w:hAnsi="仿宋" w:eastAsia="仿宋" w:cs="仿宋"/>
          <w:sz w:val="32"/>
          <w:szCs w:val="32"/>
        </w:rPr>
        <w:t>万元，较2018年预算</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2821.92</w:t>
      </w:r>
      <w:r>
        <w:rPr>
          <w:rFonts w:hint="eastAsia" w:ascii="仿宋" w:hAnsi="仿宋" w:eastAsia="仿宋" w:cs="仿宋"/>
          <w:sz w:val="32"/>
          <w:szCs w:val="32"/>
        </w:rPr>
        <w:t>万元，其中：基本支出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1165.5</w:t>
      </w:r>
      <w:r>
        <w:rPr>
          <w:rFonts w:hint="eastAsia" w:ascii="仿宋" w:hAnsi="仿宋" w:eastAsia="仿宋" w:cs="仿宋"/>
          <w:sz w:val="32"/>
          <w:szCs w:val="32"/>
        </w:rPr>
        <w:t>万元，主要为</w:t>
      </w:r>
      <w:r>
        <w:rPr>
          <w:rFonts w:hint="eastAsia" w:ascii="仿宋" w:hAnsi="仿宋" w:eastAsia="仿宋" w:cs="仿宋"/>
          <w:sz w:val="32"/>
          <w:szCs w:val="32"/>
          <w:lang w:eastAsia="zh-CN"/>
        </w:rPr>
        <w:t>增加</w:t>
      </w:r>
      <w:r>
        <w:rPr>
          <w:rFonts w:hint="eastAsia" w:ascii="仿宋" w:hAnsi="仿宋" w:eastAsia="仿宋" w:cs="仿宋"/>
          <w:sz w:val="32"/>
          <w:szCs w:val="32"/>
        </w:rPr>
        <w:t>人员经费支出；项目支出</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1656.42</w:t>
      </w:r>
      <w:r>
        <w:rPr>
          <w:rFonts w:hint="eastAsia" w:ascii="仿宋" w:hAnsi="仿宋" w:eastAsia="仿宋" w:cs="仿宋"/>
          <w:sz w:val="32"/>
          <w:szCs w:val="32"/>
        </w:rPr>
        <w:t>万元，主要为增加</w:t>
      </w:r>
      <w:r>
        <w:rPr>
          <w:rFonts w:hint="eastAsia" w:ascii="仿宋" w:hAnsi="仿宋" w:eastAsia="仿宋" w:cs="仿宋"/>
          <w:sz w:val="32"/>
          <w:szCs w:val="32"/>
          <w:lang w:eastAsia="zh-CN"/>
        </w:rPr>
        <w:t>基础设施建设</w:t>
      </w:r>
      <w:r>
        <w:rPr>
          <w:rFonts w:hint="eastAsia" w:ascii="仿宋" w:hAnsi="仿宋" w:eastAsia="仿宋" w:cs="仿宋"/>
          <w:sz w:val="32"/>
          <w:szCs w:val="32"/>
        </w:rPr>
        <w:t>。</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三、机关运行经费安排情况</w:t>
      </w:r>
    </w:p>
    <w:p>
      <w:pPr>
        <w:ind w:firstLine="640" w:firstLineChars="200"/>
        <w:rPr>
          <w:rFonts w:hint="eastAsia" w:ascii="仿宋" w:hAnsi="仿宋" w:eastAsia="仿宋" w:cs="仿宋"/>
          <w:color w:val="0000FF"/>
          <w:sz w:val="32"/>
          <w:szCs w:val="32"/>
        </w:rPr>
      </w:pPr>
      <w:r>
        <w:rPr>
          <w:rFonts w:hint="eastAsia" w:ascii="仿宋" w:hAnsi="仿宋" w:eastAsia="仿宋" w:cs="仿宋"/>
          <w:color w:val="auto"/>
          <w:sz w:val="32"/>
          <w:szCs w:val="32"/>
        </w:rPr>
        <w:t>2019年，我</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机关运行经费共计安排</w:t>
      </w:r>
      <w:r>
        <w:rPr>
          <w:rFonts w:hint="eastAsia" w:ascii="仿宋" w:hAnsi="仿宋" w:eastAsia="仿宋" w:cs="仿宋"/>
          <w:color w:val="auto"/>
          <w:sz w:val="32"/>
          <w:szCs w:val="32"/>
          <w:lang w:val="en-US" w:eastAsia="zh-CN"/>
        </w:rPr>
        <w:t>426.81</w:t>
      </w:r>
      <w:r>
        <w:rPr>
          <w:rFonts w:hint="eastAsia" w:ascii="仿宋" w:hAnsi="仿宋" w:eastAsia="仿宋" w:cs="仿宋"/>
          <w:color w:val="auto"/>
          <w:sz w:val="32"/>
          <w:szCs w:val="32"/>
        </w:rPr>
        <w:t>万元，主要用于</w:t>
      </w:r>
      <w:r>
        <w:rPr>
          <w:rFonts w:hint="eastAsia" w:ascii="仿宋" w:hAnsi="仿宋" w:eastAsia="仿宋" w:cs="仿宋"/>
          <w:color w:val="auto"/>
          <w:sz w:val="32"/>
          <w:szCs w:val="32"/>
          <w:lang w:eastAsia="zh-CN"/>
        </w:rPr>
        <w:t>各单位日常正常办公、维修、水电、取暖</w:t>
      </w:r>
      <w:r>
        <w:rPr>
          <w:rFonts w:hint="eastAsia" w:ascii="仿宋" w:hAnsi="仿宋" w:eastAsia="仿宋" w:cs="仿宋"/>
          <w:color w:val="auto"/>
          <w:sz w:val="32"/>
          <w:szCs w:val="32"/>
        </w:rPr>
        <w:t>等日常运行支出。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四、财政拨款</w:t>
      </w:r>
      <w:r>
        <w:rPr>
          <w:rFonts w:ascii="黑体" w:hAnsi="黑体" w:eastAsia="黑体" w:cs="Times New Roman"/>
          <w:sz w:val="32"/>
          <w:szCs w:val="32"/>
        </w:rPr>
        <w:t>“</w:t>
      </w:r>
      <w:r>
        <w:rPr>
          <w:rFonts w:hint="eastAsia" w:ascii="黑体" w:hAnsi="黑体" w:eastAsia="黑体" w:cs="Times New Roman"/>
          <w:sz w:val="32"/>
          <w:szCs w:val="32"/>
        </w:rPr>
        <w:t>三公</w:t>
      </w:r>
      <w:r>
        <w:rPr>
          <w:rFonts w:ascii="黑体" w:hAnsi="黑体" w:eastAsia="黑体" w:cs="Times New Roman"/>
          <w:sz w:val="32"/>
          <w:szCs w:val="32"/>
        </w:rPr>
        <w:t>”</w:t>
      </w:r>
      <w:r>
        <w:rPr>
          <w:rFonts w:hint="eastAsia" w:ascii="黑体" w:hAnsi="黑体" w:eastAsia="黑体" w:cs="Times New Roman"/>
          <w:sz w:val="32"/>
          <w:szCs w:val="32"/>
        </w:rPr>
        <w:t>经费预算情况及增减变化原因</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2019年，我</w:t>
      </w:r>
      <w:r>
        <w:rPr>
          <w:rFonts w:hint="eastAsia" w:ascii="仿宋" w:hAnsi="仿宋" w:eastAsia="仿宋" w:cs="仿宋"/>
          <w:sz w:val="32"/>
          <w:szCs w:val="32"/>
          <w:lang w:eastAsia="zh-CN"/>
        </w:rPr>
        <w:t>单位</w:t>
      </w:r>
      <w:r>
        <w:rPr>
          <w:rFonts w:hint="eastAsia" w:ascii="仿宋" w:hAnsi="仿宋" w:eastAsia="仿宋" w:cs="仿宋"/>
          <w:sz w:val="32"/>
          <w:szCs w:val="32"/>
        </w:rPr>
        <w:t>财政拨款“三公”经费预算安排</w:t>
      </w:r>
      <w:r>
        <w:rPr>
          <w:rFonts w:hint="eastAsia" w:ascii="仿宋" w:hAnsi="仿宋" w:eastAsia="仿宋" w:cs="仿宋"/>
          <w:sz w:val="32"/>
          <w:szCs w:val="32"/>
          <w:lang w:val="en-US" w:eastAsia="zh-CN"/>
        </w:rPr>
        <w:t>18.9</w:t>
      </w:r>
      <w:r>
        <w:rPr>
          <w:rFonts w:hint="eastAsia" w:ascii="仿宋" w:hAnsi="仿宋" w:eastAsia="仿宋" w:cs="仿宋"/>
          <w:sz w:val="32"/>
          <w:szCs w:val="32"/>
        </w:rPr>
        <w:t>万元，其中因公出国（境）费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万元；公务用车购置及运维费</w:t>
      </w:r>
      <w:r>
        <w:rPr>
          <w:rFonts w:hint="eastAsia" w:ascii="仿宋" w:hAnsi="仿宋" w:eastAsia="仿宋" w:cs="仿宋"/>
          <w:sz w:val="32"/>
          <w:szCs w:val="32"/>
          <w:lang w:val="en-US" w:eastAsia="zh-CN"/>
        </w:rPr>
        <w:t>18.9</w:t>
      </w:r>
      <w:r>
        <w:rPr>
          <w:rFonts w:hint="eastAsia" w:ascii="仿宋" w:hAnsi="仿宋" w:eastAsia="仿宋" w:cs="仿宋"/>
          <w:sz w:val="32"/>
          <w:szCs w:val="32"/>
        </w:rPr>
        <w:t>万元（其中：公务用车购置费为0万元，公务用车运维费</w:t>
      </w:r>
      <w:r>
        <w:rPr>
          <w:rFonts w:hint="eastAsia" w:ascii="仿宋" w:hAnsi="仿宋" w:eastAsia="仿宋" w:cs="仿宋"/>
          <w:sz w:val="32"/>
          <w:szCs w:val="32"/>
          <w:lang w:val="en-US" w:eastAsia="zh-CN"/>
        </w:rPr>
        <w:t>18.9</w:t>
      </w:r>
      <w:r>
        <w:rPr>
          <w:rFonts w:hint="eastAsia" w:ascii="仿宋" w:hAnsi="仿宋" w:eastAsia="仿宋" w:cs="仿宋"/>
          <w:sz w:val="32"/>
          <w:szCs w:val="32"/>
        </w:rPr>
        <w:t>万元)；公务接待费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万元。与2018年相比</w:t>
      </w:r>
      <w:r>
        <w:rPr>
          <w:rFonts w:hint="eastAsia" w:ascii="仿宋" w:hAnsi="仿宋" w:eastAsia="仿宋" w:cs="仿宋"/>
          <w:sz w:val="32"/>
          <w:szCs w:val="32"/>
          <w:lang w:eastAsia="zh-CN"/>
        </w:rPr>
        <w:t>增加</w:t>
      </w:r>
      <w:r>
        <w:rPr>
          <w:rFonts w:hint="eastAsia" w:ascii="仿宋" w:hAnsi="仿宋" w:eastAsia="仿宋" w:cs="仿宋"/>
          <w:sz w:val="32"/>
          <w:szCs w:val="32"/>
          <w:lang w:val="en-US" w:eastAsia="zh-CN"/>
        </w:rPr>
        <w:t>8.1万元</w:t>
      </w:r>
      <w:r>
        <w:rPr>
          <w:rFonts w:hint="eastAsia" w:ascii="仿宋" w:hAnsi="仿宋" w:eastAsia="仿宋" w:cs="仿宋"/>
          <w:sz w:val="32"/>
          <w:szCs w:val="32"/>
        </w:rPr>
        <w:t>，</w:t>
      </w:r>
      <w:r>
        <w:rPr>
          <w:rFonts w:hint="eastAsia" w:ascii="仿宋" w:hAnsi="仿宋" w:eastAsia="仿宋" w:cs="仿宋"/>
          <w:sz w:val="32"/>
          <w:szCs w:val="32"/>
          <w:lang w:eastAsia="zh-CN"/>
        </w:rPr>
        <w:t>增加</w:t>
      </w:r>
      <w:r>
        <w:rPr>
          <w:rFonts w:hint="eastAsia" w:ascii="仿宋" w:hAnsi="仿宋" w:eastAsia="仿宋" w:cs="仿宋"/>
          <w:sz w:val="32"/>
          <w:szCs w:val="32"/>
        </w:rPr>
        <w:t>的主要原因是：</w:t>
      </w:r>
      <w:r>
        <w:rPr>
          <w:rFonts w:hint="eastAsia" w:ascii="仿宋" w:hAnsi="仿宋" w:eastAsia="仿宋" w:cs="仿宋"/>
          <w:sz w:val="32"/>
          <w:szCs w:val="32"/>
          <w:lang w:eastAsia="zh-CN"/>
        </w:rPr>
        <w:t>新增两个下属单位</w:t>
      </w:r>
      <w:r>
        <w:rPr>
          <w:rFonts w:hint="eastAsia" w:ascii="仿宋" w:hAnsi="仿宋" w:eastAsia="仿宋" w:cs="仿宋"/>
          <w:sz w:val="32"/>
          <w:szCs w:val="32"/>
        </w:rPr>
        <w:t>。</w:t>
      </w:r>
    </w:p>
    <w:p>
      <w:pPr>
        <w:ind w:firstLine="640"/>
        <w:rPr>
          <w:rFonts w:ascii="黑体" w:hAnsi="黑体" w:eastAsia="黑体" w:cs="Times New Roman"/>
          <w:sz w:val="32"/>
          <w:szCs w:val="32"/>
        </w:rPr>
      </w:pPr>
      <w:r>
        <w:rPr>
          <w:rFonts w:hint="eastAsia" w:ascii="黑体" w:hAnsi="黑体" w:eastAsia="黑体" w:cs="Times New Roman"/>
          <w:sz w:val="32"/>
          <w:szCs w:val="32"/>
        </w:rPr>
        <w:t>五、绩效预算信息</w:t>
      </w:r>
    </w:p>
    <w:p>
      <w:pPr>
        <w:ind w:firstLine="640" w:firstLineChars="200"/>
        <w:jc w:val="left"/>
        <w:rPr>
          <w:rFonts w:ascii="Times New Roman" w:hAnsi="Times New Roman" w:eastAsia="方正仿宋_GBK" w:cs="Times New Roman"/>
          <w:b/>
          <w:sz w:val="32"/>
          <w:szCs w:val="32"/>
        </w:rPr>
      </w:pPr>
      <w:bookmarkStart w:id="0" w:name="_Toc471398463"/>
      <w:r>
        <w:rPr>
          <w:rFonts w:ascii="Times New Roman" w:hAnsi="Times New Roman" w:eastAsia="方正仿宋_GBK" w:cs="Times New Roman"/>
          <w:b/>
          <w:sz w:val="32"/>
          <w:szCs w:val="32"/>
        </w:rPr>
        <w:t>总体绩效目标：</w:t>
      </w:r>
    </w:p>
    <w:p>
      <w:pPr>
        <w:ind w:firstLine="640" w:firstLineChars="200"/>
        <w:jc w:val="left"/>
        <w:rPr>
          <w:rFonts w:hint="eastAsia" w:ascii="仿宋" w:hAnsi="仿宋" w:eastAsia="仿宋" w:cs="仿宋"/>
          <w:sz w:val="32"/>
          <w:szCs w:val="32"/>
          <w:lang w:val="en-US" w:eastAsia="zh-CN"/>
        </w:rPr>
      </w:pPr>
      <w:r>
        <w:rPr>
          <w:rFonts w:hint="eastAsia" w:ascii="仿宋" w:hAnsi="仿宋" w:eastAsia="仿宋" w:cs="仿宋"/>
          <w:sz w:val="32"/>
          <w:szCs w:val="32"/>
          <w:lang w:eastAsia="zh-CN"/>
        </w:rPr>
        <w:t>坚持实事求是、求真务实、狠抓落实，确保《政府工作报告》</w:t>
      </w:r>
      <w:r>
        <w:rPr>
          <w:rFonts w:hint="eastAsia" w:ascii="仿宋" w:hAnsi="仿宋" w:eastAsia="仿宋" w:cs="仿宋"/>
          <w:sz w:val="32"/>
          <w:szCs w:val="32"/>
          <w:lang w:val="en-US" w:eastAsia="zh-CN"/>
        </w:rPr>
        <w:t>119项重点工程中我局承办事项，能够有力有序、高效推进，圆满完成年度目标任务。</w:t>
      </w:r>
    </w:p>
    <w:p>
      <w:pPr>
        <w:ind w:firstLine="640" w:firstLineChars="200"/>
        <w:jc w:val="left"/>
        <w:rPr>
          <w:rFonts w:hint="eastAsia" w:ascii="Times New Roman" w:hAnsi="Times New Roman" w:eastAsia="方正仿宋_GBK" w:cs="Times New Roman"/>
          <w:b/>
          <w:sz w:val="32"/>
          <w:szCs w:val="32"/>
        </w:rPr>
      </w:pPr>
    </w:p>
    <w:p>
      <w:pPr>
        <w:ind w:firstLine="640" w:firstLineChars="200"/>
        <w:jc w:val="left"/>
        <w:rPr>
          <w:rFonts w:ascii="Times New Roman" w:hAnsi="Times New Roman" w:eastAsia="方正仿宋_GBK" w:cs="Times New Roman"/>
          <w:b/>
          <w:sz w:val="32"/>
          <w:szCs w:val="32"/>
        </w:rPr>
      </w:pPr>
      <w:r>
        <w:rPr>
          <w:rFonts w:hint="eastAsia" w:ascii="Times New Roman" w:hAnsi="Times New Roman" w:eastAsia="方正仿宋_GBK" w:cs="Times New Roman"/>
          <w:b/>
          <w:sz w:val="32"/>
          <w:szCs w:val="32"/>
        </w:rPr>
        <w:t>职责分类绩效目标：</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textAlignment w:val="auto"/>
        <w:rPr>
          <w:rFonts w:hint="eastAsia" w:ascii="仿宋" w:hAnsi="仿宋" w:eastAsia="仿宋" w:cs="仿宋"/>
          <w:sz w:val="32"/>
          <w:szCs w:val="32"/>
          <w:lang w:val="en-US" w:eastAsia="zh-CN"/>
        </w:rPr>
      </w:pPr>
      <w:r>
        <w:rPr>
          <w:rFonts w:hint="eastAsia" w:ascii="楷体" w:hAnsi="楷体" w:eastAsia="楷体" w:cs="楷体"/>
          <w:b w:val="0"/>
          <w:bCs w:val="0"/>
          <w:sz w:val="32"/>
          <w:szCs w:val="32"/>
          <w:lang w:val="en-US" w:eastAsia="zh-CN"/>
        </w:rPr>
        <w:t>加快推进基础设施建设。</w:t>
      </w:r>
      <w:r>
        <w:rPr>
          <w:rFonts w:hint="eastAsia" w:ascii="仿宋" w:hAnsi="仿宋" w:eastAsia="仿宋" w:cs="仿宋"/>
          <w:sz w:val="32"/>
          <w:szCs w:val="32"/>
          <w:lang w:val="en-US" w:eastAsia="zh-CN"/>
        </w:rPr>
        <w:t>谋划好北部石闫路、大河路和灵寿路3条污水管网建设，加快推进石邑街打通工作，协助获鹿镇做好三四街片区改造工作，落实好三四街片区国有土地征地拆迁工作，稳步推进龙泉社区改造、民兵训练基地建设工作。</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持续做好环境治理工作。</w:t>
      </w:r>
      <w:r>
        <w:rPr>
          <w:rFonts w:hint="eastAsia" w:ascii="仿宋" w:hAnsi="仿宋" w:eastAsia="仿宋" w:cs="仿宋"/>
          <w:sz w:val="32"/>
          <w:szCs w:val="32"/>
          <w:lang w:val="en-US" w:eastAsia="zh-CN"/>
        </w:rPr>
        <w:t>加大巡查力度，确保全区建筑施工工地扬尘治理达到“七个百分百”，</w:t>
      </w:r>
      <w:r>
        <w:rPr>
          <w:rFonts w:hint="eastAsia" w:ascii="仿宋" w:hAnsi="仿宋" w:eastAsia="仿宋" w:cs="仿宋_GB2312"/>
          <w:sz w:val="32"/>
          <w:szCs w:val="32"/>
        </w:rPr>
        <w:t>严格执行《石家庄市严管建筑施工扬尘十二条》标准</w:t>
      </w:r>
      <w:r>
        <w:rPr>
          <w:rFonts w:hint="eastAsia" w:ascii="仿宋" w:hAnsi="仿宋" w:eastAsia="仿宋" w:cs="仿宋"/>
          <w:sz w:val="32"/>
          <w:szCs w:val="32"/>
          <w:lang w:val="en-US" w:eastAsia="zh-CN"/>
        </w:rPr>
        <w:t>；加快推进15.1万既有居住建筑节能改造任务，严格执行绿色建筑、建筑节能和装配式建筑配建比例的相关标准；完成对</w:t>
      </w:r>
      <w:r>
        <w:rPr>
          <w:rFonts w:hint="eastAsia" w:ascii="仿宋_GB2312" w:hAnsi="仿宋_GB2312" w:eastAsia="仿宋_GB2312" w:cs="仿宋_GB2312"/>
          <w:kern w:val="2"/>
          <w:sz w:val="32"/>
          <w:szCs w:val="32"/>
          <w:lang w:val="en-US" w:eastAsia="zh-CN" w:bidi="ar-SA"/>
        </w:rPr>
        <w:t>鹿泉区污水处理厂、上庄污水处理厂的改造，使排放污水水质达到地表Ⅳ类标准水体。</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加大行业监管力度。</w:t>
      </w:r>
      <w:r>
        <w:rPr>
          <w:rFonts w:hint="eastAsia" w:ascii="仿宋" w:hAnsi="仿宋" w:eastAsia="仿宋" w:cs="仿宋"/>
          <w:sz w:val="32"/>
          <w:szCs w:val="32"/>
          <w:lang w:val="en-US" w:eastAsia="zh-CN"/>
        </w:rPr>
        <w:t>强化在建筑工地质量、安全的监管力度，确保建筑工程质量、安全受控良好；下大力气整顿房地产违规销售和房产中介市场，</w:t>
      </w:r>
      <w:r>
        <w:rPr>
          <w:rFonts w:hint="eastAsia" w:ascii="仿宋_GB2312" w:hAnsi="仿宋_GB2312" w:eastAsia="仿宋_GB2312" w:cs="仿宋_GB2312"/>
          <w:sz w:val="32"/>
          <w:szCs w:val="32"/>
          <w:lang w:eastAsia="zh-CN"/>
        </w:rPr>
        <w:t>开展</w:t>
      </w:r>
      <w:r>
        <w:rPr>
          <w:rFonts w:hint="eastAsia" w:ascii="仿宋" w:hAnsi="仿宋" w:eastAsia="仿宋"/>
          <w:sz w:val="32"/>
          <w:szCs w:val="32"/>
        </w:rPr>
        <w:t>整顿和规范房地产市场秩序“打非”</w:t>
      </w:r>
      <w:r>
        <w:rPr>
          <w:rFonts w:hint="eastAsia" w:ascii="仿宋" w:hAnsi="仿宋" w:eastAsia="仿宋"/>
          <w:sz w:val="32"/>
          <w:szCs w:val="32"/>
          <w:lang w:eastAsia="zh-CN"/>
        </w:rPr>
        <w:t>专项行动，有效改善我区</w:t>
      </w:r>
      <w:r>
        <w:rPr>
          <w:rFonts w:hint="eastAsia" w:ascii="仿宋" w:hAnsi="仿宋" w:eastAsia="仿宋"/>
          <w:sz w:val="32"/>
          <w:szCs w:val="32"/>
        </w:rPr>
        <w:t>房地产开发项目非法</w:t>
      </w:r>
      <w:r>
        <w:rPr>
          <w:rFonts w:hint="eastAsia" w:ascii="仿宋" w:hAnsi="仿宋" w:eastAsia="仿宋"/>
          <w:sz w:val="32"/>
          <w:szCs w:val="32"/>
          <w:lang w:eastAsia="zh-CN"/>
        </w:rPr>
        <w:t>建设</w:t>
      </w:r>
      <w:r>
        <w:rPr>
          <w:rFonts w:hint="eastAsia" w:ascii="仿宋" w:hAnsi="仿宋" w:eastAsia="仿宋"/>
          <w:sz w:val="32"/>
          <w:szCs w:val="32"/>
        </w:rPr>
        <w:t>、违规销售现象</w:t>
      </w:r>
      <w:r>
        <w:rPr>
          <w:rFonts w:hint="eastAsia" w:ascii="仿宋" w:hAnsi="仿宋" w:eastAsia="仿宋"/>
          <w:sz w:val="32"/>
          <w:szCs w:val="32"/>
          <w:lang w:eastAsia="zh-CN"/>
        </w:rPr>
        <w:t>；</w:t>
      </w:r>
      <w:r>
        <w:rPr>
          <w:rFonts w:hint="eastAsia" w:ascii="仿宋" w:hAnsi="仿宋" w:eastAsia="仿宋" w:cs="仿宋"/>
          <w:b w:val="0"/>
          <w:bCs w:val="0"/>
          <w:sz w:val="32"/>
          <w:szCs w:val="32"/>
          <w:lang w:val="en-US" w:eastAsia="zh-CN"/>
        </w:rPr>
        <w:t>严格履行前期物业管理招投标或协议选聘程序，协助获鹿镇做好业主大会和业主委员会成立工作，加强对物业公司服务和监管，</w:t>
      </w:r>
      <w:r>
        <w:rPr>
          <w:rFonts w:hint="eastAsia" w:ascii="仿宋_GB2312" w:hAnsi="仿宋_GB2312" w:eastAsia="仿宋_GB2312" w:cs="仿宋_GB2312"/>
          <w:b w:val="0"/>
          <w:bCs/>
          <w:sz w:val="32"/>
          <w:szCs w:val="32"/>
          <w:lang w:eastAsia="zh-CN"/>
        </w:rPr>
        <w:t>推进</w:t>
      </w:r>
      <w:r>
        <w:rPr>
          <w:rFonts w:hint="eastAsia" w:ascii="仿宋" w:hAnsi="仿宋" w:eastAsia="仿宋" w:cs="仿宋"/>
          <w:b w:val="0"/>
          <w:bCs w:val="0"/>
          <w:i w:val="0"/>
          <w:iCs w:val="0"/>
          <w:sz w:val="32"/>
          <w:szCs w:val="32"/>
          <w:lang w:eastAsia="zh-CN"/>
        </w:rPr>
        <w:t>主城区</w:t>
      </w:r>
      <w:r>
        <w:rPr>
          <w:rFonts w:hint="eastAsia" w:ascii="仿宋" w:hAnsi="仿宋" w:eastAsia="仿宋" w:cs="仿宋"/>
          <w:b w:val="0"/>
          <w:bCs w:val="0"/>
          <w:sz w:val="32"/>
          <w:szCs w:val="32"/>
          <w:lang w:val="en-US" w:eastAsia="zh-CN"/>
        </w:rPr>
        <w:t>住宅</w:t>
      </w:r>
      <w:r>
        <w:rPr>
          <w:rFonts w:hint="eastAsia" w:ascii="仿宋" w:hAnsi="仿宋" w:eastAsia="仿宋" w:cs="仿宋"/>
          <w:b w:val="0"/>
          <w:bCs w:val="0"/>
          <w:i w:val="0"/>
          <w:iCs w:val="0"/>
          <w:sz w:val="32"/>
          <w:szCs w:val="32"/>
          <w:lang w:eastAsia="zh-CN"/>
        </w:rPr>
        <w:t>小区物业管理水平的发展和提升</w:t>
      </w:r>
      <w:r>
        <w:rPr>
          <w:rFonts w:hint="eastAsia" w:ascii="仿宋" w:hAnsi="仿宋" w:eastAsia="仿宋" w:cs="仿宋"/>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40" w:firstLineChars="200"/>
        <w:jc w:val="both"/>
        <w:textAlignment w:val="auto"/>
        <w:outlineLvl w:val="9"/>
        <w:rPr>
          <w:rFonts w:hint="eastAsia" w:ascii="仿宋" w:hAnsi="仿宋" w:eastAsia="仿宋"/>
          <w:sz w:val="32"/>
          <w:szCs w:val="32"/>
          <w:lang w:val="en-US" w:eastAsia="zh-CN"/>
        </w:rPr>
      </w:pPr>
      <w:r>
        <w:rPr>
          <w:rFonts w:hint="eastAsia" w:ascii="楷体" w:hAnsi="楷体" w:eastAsia="楷体" w:cs="楷体"/>
          <w:sz w:val="32"/>
          <w:szCs w:val="32"/>
          <w:lang w:eastAsia="zh-CN"/>
        </w:rPr>
        <w:t>（四）强化创新人才引进和培育。</w:t>
      </w:r>
      <w:r>
        <w:rPr>
          <w:rFonts w:hint="eastAsia" w:ascii="仿宋" w:hAnsi="仿宋" w:eastAsia="仿宋"/>
          <w:sz w:val="32"/>
          <w:szCs w:val="32"/>
          <w:lang w:val="en-US" w:eastAsia="zh-CN"/>
        </w:rPr>
        <w:t>加强引进人才住房保障工作，实行积极的人才住房保障政策，坚持政府引导，社会参与，通过建设人才公寓，发放购房补贴或房租补助等多种方式为人才提供住房保障服务。</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right="0" w:rightChars="0" w:firstLine="640" w:firstLineChars="200"/>
        <w:jc w:val="both"/>
        <w:textAlignment w:val="auto"/>
        <w:outlineLvl w:val="9"/>
        <w:rPr>
          <w:rFonts w:hint="eastAsia" w:ascii="仿宋" w:hAnsi="仿宋" w:eastAsia="仿宋" w:cs="仿宋_GB2312"/>
          <w:sz w:val="32"/>
          <w:szCs w:val="32"/>
          <w:lang w:val="en-US" w:eastAsia="zh-CN"/>
        </w:rPr>
      </w:pPr>
      <w:r>
        <w:rPr>
          <w:rFonts w:hint="eastAsia" w:ascii="楷体" w:hAnsi="楷体" w:eastAsia="楷体" w:cs="楷体"/>
          <w:sz w:val="32"/>
          <w:szCs w:val="32"/>
          <w:lang w:val="en-US" w:eastAsia="zh-CN"/>
        </w:rPr>
        <w:t>（五）提高社会保障能力。</w:t>
      </w:r>
      <w:r>
        <w:rPr>
          <w:rFonts w:hint="eastAsia" w:ascii="仿宋" w:hAnsi="仿宋" w:eastAsia="仿宋" w:cs="仿宋_GB2312"/>
          <w:sz w:val="32"/>
          <w:szCs w:val="32"/>
          <w:lang w:val="en-US" w:eastAsia="zh-CN"/>
        </w:rPr>
        <w:t>加快棚户区和重点片区改造步伐，2019年底，完成获鹿镇一街、八街棚户区改造回迁小区项目基本建成。</w:t>
      </w:r>
    </w:p>
    <w:p>
      <w:pPr>
        <w:ind w:firstLine="560"/>
        <w:rPr>
          <w:rFonts w:hint="eastAsia" w:ascii="楷体_GB2312" w:hAnsi="黑体" w:eastAsia="楷体_GB2312" w:cs="Times New Roman"/>
          <w:b/>
          <w:sz w:val="32"/>
          <w:szCs w:val="32"/>
        </w:rPr>
      </w:pPr>
    </w:p>
    <w:p>
      <w:pPr>
        <w:ind w:firstLine="560"/>
        <w:rPr>
          <w:rFonts w:ascii="楷体_GB2312" w:hAnsi="Times New Roman" w:eastAsia="楷体_GB2312" w:cs="Times New Roman"/>
          <w:b/>
          <w:sz w:val="32"/>
          <w:szCs w:val="24"/>
        </w:rPr>
      </w:pPr>
      <w:r>
        <w:rPr>
          <w:rFonts w:hint="eastAsia" w:ascii="楷体_GB2312" w:hAnsi="黑体" w:eastAsia="楷体_GB2312" w:cs="Times New Roman"/>
          <w:b/>
          <w:sz w:val="32"/>
          <w:szCs w:val="32"/>
        </w:rPr>
        <w:t>门职责及工作活动绩效目标指标：</w:t>
      </w:r>
    </w:p>
    <w:bookmarkEnd w:id="0"/>
    <w:p>
      <w:pPr>
        <w:jc w:val="center"/>
        <w:outlineLvl w:val="0"/>
        <w:rPr>
          <w:rFonts w:ascii="方正小标宋_GBK" w:eastAsia="方正小标宋_GBK"/>
          <w:color w:val="FFFFFF"/>
          <w:sz w:val="32"/>
        </w:rPr>
      </w:pPr>
      <w:bookmarkStart w:id="1" w:name="_Toc2350465"/>
      <w:r>
        <w:rPr>
          <w:rFonts w:hint="eastAsia" w:ascii="方正小标宋_GBK" w:eastAsia="方正小标宋_GBK"/>
          <w:sz w:val="32"/>
        </w:rPr>
        <w:t>部门职责-工作活动绩效目标</w:t>
      </w:r>
      <w:r>
        <w:rPr>
          <w:rStyle w:val="12"/>
          <w:rFonts w:ascii="方正小标宋_GBK" w:eastAsia="方正小标宋_GBK"/>
          <w:color w:val="FFFFFF"/>
          <w:sz w:val="32"/>
        </w:rPr>
        <w:footnoteReference w:id="0" w:customMarkFollows="1"/>
        <w:sym w:font="Symbol" w:char="F020"/>
      </w:r>
      <w:bookmarkEnd w:id="1"/>
    </w:p>
    <w:tbl>
      <w:tblPr>
        <w:tblStyle w:val="13"/>
        <w:tblW w:w="13934"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341"/>
        <w:gridCol w:w="1276"/>
        <w:gridCol w:w="2976"/>
        <w:gridCol w:w="2976"/>
        <w:gridCol w:w="1417"/>
        <w:gridCol w:w="737"/>
        <w:gridCol w:w="737"/>
        <w:gridCol w:w="737"/>
        <w:gridCol w:w="73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10986" w:type="dxa"/>
            <w:gridSpan w:val="5"/>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333</w:t>
            </w:r>
            <w:r>
              <w:rPr>
                <w:rFonts w:hint="eastAsia" w:ascii="方正小标宋_GBK" w:eastAsia="方正小标宋_GBK"/>
                <w:sz w:val="24"/>
              </w:rPr>
              <w:t>石家庄市鹿泉区住房和城乡建设局</w:t>
            </w:r>
          </w:p>
        </w:tc>
        <w:tc>
          <w:tcPr>
            <w:tcW w:w="2948" w:type="dxa"/>
            <w:gridSpan w:val="4"/>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职责活动</w:t>
            </w:r>
          </w:p>
        </w:tc>
        <w:tc>
          <w:tcPr>
            <w:tcW w:w="12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年度预算数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内容描述</w:t>
            </w:r>
          </w:p>
        </w:tc>
        <w:tc>
          <w:tcPr>
            <w:tcW w:w="2976"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绩效目标</w:t>
            </w:r>
          </w:p>
        </w:tc>
        <w:tc>
          <w:tcPr>
            <w:tcW w:w="1417"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绩效指标</w:t>
            </w:r>
          </w:p>
        </w:tc>
        <w:tc>
          <w:tcPr>
            <w:tcW w:w="2948" w:type="dxa"/>
            <w:gridSpan w:val="4"/>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评价标准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tblHeader/>
          <w:jc w:val="center"/>
        </w:trPr>
        <w:tc>
          <w:tcPr>
            <w:tcW w:w="2341" w:type="dxa"/>
            <w:vMerge w:val="continue"/>
            <w:shd w:val="clear" w:color="auto" w:fill="auto"/>
            <w:noWrap w:val="0"/>
            <w:vAlign w:val="center"/>
          </w:tcPr>
          <w:p>
            <w:pPr>
              <w:spacing w:line="300" w:lineRule="exact"/>
              <w:jc w:val="left"/>
              <w:outlineLvl w:val="0"/>
            </w:pPr>
          </w:p>
        </w:tc>
        <w:tc>
          <w:tcPr>
            <w:tcW w:w="12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2976" w:type="dxa"/>
            <w:vMerge w:val="continue"/>
            <w:shd w:val="clear" w:color="auto" w:fill="auto"/>
            <w:noWrap w:val="0"/>
            <w:vAlign w:val="center"/>
          </w:tcPr>
          <w:p>
            <w:pPr>
              <w:spacing w:line="300" w:lineRule="exact"/>
              <w:jc w:val="left"/>
              <w:outlineLvl w:val="0"/>
            </w:pPr>
          </w:p>
        </w:tc>
        <w:tc>
          <w:tcPr>
            <w:tcW w:w="1417" w:type="dxa"/>
            <w:vMerge w:val="continue"/>
            <w:shd w:val="clear" w:color="auto" w:fill="auto"/>
            <w:noWrap w:val="0"/>
            <w:vAlign w:val="center"/>
          </w:tcPr>
          <w:p>
            <w:pPr>
              <w:spacing w:line="300" w:lineRule="exact"/>
              <w:jc w:val="left"/>
              <w:outlineLvl w:val="0"/>
            </w:pP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优</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良</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中</w:t>
            </w:r>
          </w:p>
        </w:tc>
        <w:tc>
          <w:tcPr>
            <w:tcW w:w="737"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ascii="方正书宋_GBK" w:eastAsia="方正书宋_GBK"/>
                <w:b/>
              </w:rPr>
            </w:pPr>
            <w:r>
              <w:rPr>
                <w:rFonts w:hint="eastAsia" w:ascii="方正书宋_GBK" w:eastAsia="方正书宋_GBK"/>
                <w:b/>
              </w:rPr>
              <w:t>一、住房保障</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279.00</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拟定住房保障政策并指导实施；承城镇保障性安居工程资金安排有关事项；组织编制住房保障建设发展规划和年度计划并监督实施；指导住房建设和住房制度改革</w:t>
            </w:r>
          </w:p>
        </w:tc>
        <w:tc>
          <w:tcPr>
            <w:tcW w:w="2976"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建建立健全多层次城镇住房保障体系，稳妥推进住房制度改革，按照国家要求达到城镇住房保障工作目标。</w:t>
            </w:r>
          </w:p>
        </w:tc>
        <w:tc>
          <w:tcPr>
            <w:tcW w:w="1417" w:type="dxa"/>
            <w:shd w:val="clear" w:color="auto" w:fill="auto"/>
            <w:noWrap w:val="0"/>
            <w:vAlign w:val="center"/>
          </w:tcPr>
          <w:p>
            <w:pPr>
              <w:spacing w:line="300" w:lineRule="exact"/>
              <w:jc w:val="left"/>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、保障性安居工程建设管理</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279.00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研究制定保障性安居工程建设规划，拟定年度建设目标并监督实施；研究拟定保障性安居工程政策并监督实施，对项目分配、管理和运营情况监督指导</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完成国家、省、市、区确定的城镇保障性安居工程年度建设任务，建立健全公平、公正、公开的分配机制和优质、高效管理服务机制，保障性住房及时分配到位。及时出台政策；妥善处理房改遗留问题，避免产生新的社会矛盾</w:t>
            </w:r>
          </w:p>
        </w:tc>
        <w:tc>
          <w:tcPr>
            <w:tcW w:w="1417"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新增租赁补贴户数完成率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保障性住房开工率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保障性住房竣工率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二、城乡规划</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50.00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组织区域内城镇体系规划编制，组织参与层面规划编制，督导依法编制总体规划、专项规划、控制性详细规划、历史文化名城和街区保护规划等。对由区政府审批的规划进行监督实施。</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加强城乡规划管理，协调城乡空间布局，改善人居环境，促进城乡经济社会全面协调可持续发展。</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、城乡资源保护</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50.00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实施城镇风景名胜资源保护，加强风景名胜区监测管理；加强保护，对核心保护范围内的历史建筑、传统建筑修缮、基础设施改造和环境综合整治；组织编制风景名胜区规划</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提高规划实施及监督管理的效能</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城镇风景名胜、历史文化名城和街区保护工程开工率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年度村镇规划编制完成率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年度村镇规划执行率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动态监测报告完成率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三、城乡建设管理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18133.67</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指导城市市政公用设施建设、安全和应急管理；拟定风景名胜区的发展规划、政策并指导实施；拟定村庄和小城镇建设政策并指导实施；指导镇、乡村庄规划的编制和实施；指导农村住房建设、住房安全和危房改造；改善小城镇和村庄人居环境；指导做好重点镇的建设。</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加强管理，提高城市承载能力和宜居度。加强村镇建设，改善农村人居环境，实现城乡统筹发展。协调和指导推进城镇化工作，加快城镇化进程。指导城市建设投融资体制改革，破解融资难题。</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、市政公用设施建设与管理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15783.52</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拟定市政基础设施的中长期发展规划，并定期进行评估；承担风景名胜区、自然遗产和自然文化双重遗产项目的有关工作。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加强城市市政基础设施建设</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城市基础设施建设工作目标完成量</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4</w:t>
            </w:r>
            <w:r>
              <w:rPr>
                <w:rFonts w:hint="eastAsia" w:ascii="方正书宋_GBK" w:eastAsia="方正书宋_GBK"/>
              </w:rPr>
              <w:t>项</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3</w:t>
            </w:r>
            <w:r>
              <w:rPr>
                <w:rFonts w:hint="eastAsia" w:ascii="方正书宋_GBK" w:eastAsia="方正书宋_GBK"/>
              </w:rPr>
              <w:t>项</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2</w:t>
            </w:r>
            <w:r>
              <w:rPr>
                <w:rFonts w:hint="eastAsia" w:ascii="方正书宋_GBK" w:eastAsia="方正书宋_GBK"/>
              </w:rPr>
              <w:t>项</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w:t>
            </w:r>
            <w:r>
              <w:rPr>
                <w:rFonts w:hint="eastAsia" w:ascii="方正书宋_GBK" w:eastAsia="方正书宋_GBK"/>
              </w:rPr>
              <w:t>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、市政公用设施建设与管理</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拟定市政基础设施的中长期发展规划，并定期进行评估；承担风景名胜区、自然遗产和自然文化双重遗产项目的有关工作。</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开展国家、市级园林城创建活动，组织开展星级公园、园林式单位、小区、街道创建活动，并组织初评和验收，参与城市公园绿地、城市植树、城镇古树名木和风景名胜资源保护、绿道绿廊建设的监督管理工作</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风景名胜区重大建设项目审查率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、城市容貌环境综合整治</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2350.15</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指导城市市容环境治理、城建监察、数字化城市管理系统平台建设及运行等各项工作，改善人居环境，大气污染治理。</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加快数字化城管平台建设，实现城市管理信息化。加强大气污染治理力度。</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数字化城管平台建设率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60%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4</w:t>
            </w:r>
            <w:r>
              <w:rPr>
                <w:rFonts w:hint="eastAsia" w:ascii="方正书宋_GBK" w:eastAsia="方正书宋_GBK"/>
                <w:b/>
              </w:rPr>
              <w:t>、推进城镇化建设</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指导农村住房建设、住房安全和危房改造，推进村庄人居环境改善，全面推进县城建设；推进城镇化工作，城市建设投融资体制改革。实施县城建设三年攻坚行动，开展城乡规划提升、基础设施建设、公共服务设施配套、环境容貌治理、</w:t>
            </w:r>
            <w:r>
              <w:rPr>
                <w:rFonts w:hint="cs" w:ascii="方正书宋_GBK" w:eastAsia="方正书宋_GBK"/>
              </w:rPr>
              <w:t>“</w:t>
            </w:r>
            <w:r>
              <w:rPr>
                <w:rFonts w:hint="eastAsia" w:ascii="方正书宋_GBK" w:eastAsia="方正书宋_GBK"/>
              </w:rPr>
              <w:t>三改一拆</w:t>
            </w:r>
            <w:r>
              <w:rPr>
                <w:rFonts w:hint="cs" w:ascii="方正书宋_GBK" w:eastAsia="方正书宋_GBK"/>
              </w:rPr>
              <w:t>”</w:t>
            </w:r>
            <w:r>
              <w:rPr>
                <w:rFonts w:hint="eastAsia" w:ascii="方正书宋_GBK" w:eastAsia="方正书宋_GBK"/>
              </w:rPr>
              <w:t>、建筑能效提升等攻坚行动的指导工作，全面提升我区建设质量和水平。</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结合本年县城建设工作重点，选定县城建设工作考核评价指标体系，对各项县城建设工作进行评价，将年度考核评价结果报市干部考核工作领导小组，作为干部综合考核评价的重要依据。</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危房改造完成率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建设工作考核完成率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98%</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项目建筑施工合同备案率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75%</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危房总量降低率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四、建筑业、房地产市场监管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296.02</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指导、规范建筑市场、工程造价管理及建筑工程招投标管理，拟订工程建设、建筑业行业发展政策、规章制度并监督执行，拟订工程建设计价依据和管理制度</w:t>
            </w:r>
            <w:r>
              <w:rPr>
                <w:rFonts w:ascii="方正书宋_GBK" w:eastAsia="方正书宋_GBK"/>
              </w:rPr>
              <w:t>;</w:t>
            </w:r>
            <w:r>
              <w:rPr>
                <w:rFonts w:hint="eastAsia" w:ascii="方正书宋_GBK" w:eastAsia="方正书宋_GBK"/>
              </w:rPr>
              <w:t>拟订房地产市场监管政策并监督执行，制订房地产开发、房屋租赁、房屋面积管理、房地产估价与经纪管理、物业管理的规章制度并监督执行。</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规范建筑市场各方主体行为，促进建筑市场健康发展。提高建筑工程质量，减少建筑安全生产事故，提高行业水平。加强市场监测，促进全区房地产市场持续健康发展。</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、全区建筑业管理</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135.22</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拟定全区工程建设、建筑业发展政策、规章制度并监督执行，规范建筑市场各方主体行为。</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进一步加强市管项目合同备案管理，规范建筑市场施工合同管理。</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计价依据编制完成率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执行农民工工资预储金制度的设区市数量</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3</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2</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农民工工资预储金增长率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、房地产市场监管</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160.80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规范房地产市场秩序、监督管理房地产市场。拟订房地产市场监管政策并监督执行，提出房地产业的行业发展规划、产业政策，制订房地产开发、房屋租赁、房屋面积管理、房地产估价与经纪管理、物业管理、房屋征收的规章制度并监督执行</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加强市场监测，促进全区房地产市场持续健康发展</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房地产市场统计分析工作完成及时率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3</w:t>
            </w:r>
            <w:r>
              <w:rPr>
                <w:rFonts w:hint="eastAsia" w:ascii="方正书宋_GBK" w:eastAsia="方正书宋_GBK"/>
                <w:b/>
              </w:rPr>
              <w:t>、建筑工程质量安全监管</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拟订工程建设地方标准、工程质量、建筑安全生产的政策和规章制度并监督执行，组织编制城乡建设防灾减灾规划并监督实施，组织或参与工程重大质量、安全事故的调查处理，减少建筑安全生产事故；监督执行勘察设计咨询、工程建设监理、质量检测单位资质标准，提高行业水平。</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加强建设工程质量管理，实现建设工程质量有效监控</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新墙体利用</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施工图设计文件审查率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建筑工程施工现场达标率</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97%</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工程质量投诉结案率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五、推进建筑节能</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1000.00</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城镇新建建筑节能监管；开展既有建筑节能改造；开展公共建筑能耗监测体系建设及公共建筑节能改造；开展建筑节能和绿色建筑示范建设；加强建设科技工作；组织实施建筑节能示范项目；加强新型墙体材料、新技术和新建筑节能产品的推广应用。</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提高建设科技对住房城乡建设发展的贡献率，充分发挥建筑节能在城镇节能减排中的作用；提高新型墙体材料、新技术和新建筑节能产品在新建建筑中应用。</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、推进建筑节能</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1000.00</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引导推进建筑节能和绿色建筑，组织实施各项建筑节能、绿色建筑、新技术、新体系应用示范项目。推动绿色建筑及住宅产业化，引导建造方式转变，提升住宅性能和品质。</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提高既有居住建筑的保温性能。评选备案项目，完善市级能耗监测平台，建立市级中转平台，实现能耗数据采集、传输、统计等功能。经改造的公共建筑达到节能标准。积累新技术新体系应用经验</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科技新成果完成数量</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30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24</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18</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&lt;18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区级中转平台建设数量</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既有居住建筑供热计量及节能改造任务完成面积</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1000</w:t>
            </w:r>
            <w:r>
              <w:rPr>
                <w:rFonts w:hint="eastAsia" w:ascii="方正书宋_GBK" w:eastAsia="方正书宋_GBK"/>
              </w:rPr>
              <w:t>万平方米</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900</w:t>
            </w:r>
            <w:r>
              <w:rPr>
                <w:rFonts w:hint="eastAsia" w:ascii="方正书宋_GBK" w:eastAsia="方正书宋_GBK"/>
              </w:rPr>
              <w:t>万平方米</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800</w:t>
            </w:r>
            <w:r>
              <w:rPr>
                <w:rFonts w:hint="eastAsia" w:ascii="方正书宋_GBK" w:eastAsia="方正书宋_GBK"/>
              </w:rPr>
              <w:t>万平方米</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&lt;800</w:t>
            </w:r>
            <w:r>
              <w:rPr>
                <w:rFonts w:hint="eastAsia" w:ascii="方正书宋_GBK" w:eastAsia="方正书宋_GBK"/>
              </w:rPr>
              <w:t>万平方米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建筑应用可再生能源面积比例</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43%</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42%</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41%</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&lt;41%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、建筑节能材料管理</w:t>
            </w:r>
          </w:p>
        </w:tc>
        <w:tc>
          <w:tcPr>
            <w:tcW w:w="1276" w:type="dxa"/>
            <w:vMerge w:val="restart"/>
            <w:shd w:val="clear" w:color="auto" w:fill="auto"/>
            <w:noWrap w:val="0"/>
            <w:vAlign w:val="center"/>
          </w:tcPr>
          <w:p>
            <w:pPr>
              <w:spacing w:line="300" w:lineRule="exact"/>
              <w:jc w:val="left"/>
              <w:rPr>
                <w:rFonts w:ascii="方正书宋_GBK" w:eastAsia="方正书宋_GBK"/>
              </w:rPr>
            </w:pP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组织建筑节能材料产品推广应用，定期发布建设机械材料设备淘汰、限制使用和推广应用产品目录，定期开展建材市场秩序专项整治。开展绿色建材星级评价工作。</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建材市场秩序规范，绿色建材得到广泛应用，低效耗能建设机械及时淘汰</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抽检在建工程数量</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40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30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&lt;20</w:t>
            </w:r>
            <w:r>
              <w:rPr>
                <w:rFonts w:hint="eastAsia" w:ascii="方正书宋_GBK" w:eastAsia="方正书宋_GBK"/>
              </w:rPr>
              <w:t>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通过绿色建材星级评价企业数量</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&lt;10</w:t>
            </w:r>
            <w:r>
              <w:rPr>
                <w:rFonts w:hint="eastAsia" w:ascii="方正书宋_GBK" w:eastAsia="方正书宋_GBK"/>
              </w:rPr>
              <w:t>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节能环保建筑产品推广应用项目个数</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20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15</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10</w:t>
            </w:r>
            <w:r>
              <w:rPr>
                <w:rFonts w:hint="eastAsia" w:ascii="方正书宋_GBK" w:eastAsia="方正书宋_GBK"/>
              </w:rPr>
              <w:t>个</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&lt;10</w:t>
            </w:r>
            <w:r>
              <w:rPr>
                <w:rFonts w:hint="eastAsia" w:ascii="方正书宋_GBK" w:eastAsia="方正书宋_GBK"/>
              </w:rPr>
              <w:t>个</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六、住建政务管理</w:t>
            </w:r>
          </w:p>
        </w:tc>
        <w:tc>
          <w:tcPr>
            <w:tcW w:w="1276"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77.65</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负责住建系统综合业务管理和机关综合事务管理。</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加强住房城乡建设人才队伍建设，提高人才业务素质，激励工作热情，提高行业水平。提升机关及行业信息化水平，保障机关办公网络、门户网站及各类业务系统安全稳定运行；加大信息宣传力度，创造良好舆论氛围。规范审批行为，推进政务公开，增加服务意识，提高工作效率。加强我区住房城乡建设事业对外交流。法律制度适应本行业经济社会发展需要</w:t>
            </w:r>
            <w:r>
              <w:rPr>
                <w:rFonts w:ascii="方正书宋_GBK" w:eastAsia="方正书宋_GBK"/>
              </w:rPr>
              <w:t>,</w:t>
            </w:r>
            <w:r>
              <w:rPr>
                <w:rFonts w:hint="eastAsia" w:ascii="方正书宋_GBK" w:eastAsia="方正书宋_GBK"/>
              </w:rPr>
              <w:t>矛盾有效化解，政群关系和谐，促进行业健康发展。</w:t>
            </w:r>
          </w:p>
        </w:tc>
        <w:tc>
          <w:tcPr>
            <w:tcW w:w="1417" w:type="dxa"/>
            <w:shd w:val="clear" w:color="auto" w:fill="auto"/>
            <w:noWrap w:val="0"/>
            <w:vAlign w:val="center"/>
          </w:tcPr>
          <w:p>
            <w:pPr>
              <w:spacing w:line="300" w:lineRule="exact"/>
              <w:jc w:val="left"/>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hint="eastAsia" w:ascii="方正书宋_GBK" w:eastAsia="方正书宋_GBK"/>
              </w:rPr>
            </w:pPr>
          </w:p>
        </w:tc>
        <w:tc>
          <w:tcPr>
            <w:tcW w:w="737" w:type="dxa"/>
            <w:shd w:val="clear" w:color="auto" w:fill="auto"/>
            <w:noWrap w:val="0"/>
            <w:vAlign w:val="center"/>
          </w:tcPr>
          <w:p>
            <w:pPr>
              <w:spacing w:line="300" w:lineRule="exact"/>
              <w:jc w:val="center"/>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restart"/>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1</w:t>
            </w:r>
            <w:r>
              <w:rPr>
                <w:rFonts w:hint="eastAsia" w:ascii="方正书宋_GBK" w:eastAsia="方正书宋_GBK"/>
                <w:b/>
              </w:rPr>
              <w:t>、综合业务管理</w:t>
            </w:r>
          </w:p>
        </w:tc>
        <w:tc>
          <w:tcPr>
            <w:tcW w:w="1276" w:type="dxa"/>
            <w:vMerge w:val="restart"/>
            <w:shd w:val="clear" w:color="auto" w:fill="auto"/>
            <w:noWrap w:val="0"/>
            <w:vAlign w:val="center"/>
          </w:tcPr>
          <w:p>
            <w:pPr>
              <w:spacing w:line="300" w:lineRule="exact"/>
              <w:jc w:val="left"/>
              <w:rPr>
                <w:rFonts w:ascii="方正书宋_GBK" w:eastAsia="方正书宋_GBK"/>
              </w:rPr>
            </w:pPr>
            <w:r>
              <w:rPr>
                <w:rFonts w:ascii="方正书宋_GBK" w:eastAsia="方正书宋_GBK"/>
              </w:rPr>
              <w:t>77.65</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组织编制住房和城乡建设的行业发展规划，拟定相关法规规章草案政策和行业技术标准，推进依法行政，加强行政许可管理，开展建设行业对外合作交流；拟订适合我区的住房政策，指导住房建设和住房制度改革；组织编制科技发展规划，推进建设科技发展。</w:t>
            </w:r>
          </w:p>
        </w:tc>
        <w:tc>
          <w:tcPr>
            <w:tcW w:w="2976" w:type="dxa"/>
            <w:vMerge w:val="restart"/>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城建档案管理达到档案局的工作要求</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行政应诉率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综合业务管理工作完成率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案件审结率</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27" w:hRule="atLeast"/>
          <w:jc w:val="center"/>
        </w:trPr>
        <w:tc>
          <w:tcPr>
            <w:tcW w:w="2341" w:type="dxa"/>
            <w:vMerge w:val="continue"/>
            <w:shd w:val="clear" w:color="auto" w:fill="auto"/>
            <w:noWrap w:val="0"/>
            <w:vAlign w:val="center"/>
          </w:tcPr>
          <w:p>
            <w:pPr>
              <w:spacing w:line="300" w:lineRule="exact"/>
              <w:jc w:val="left"/>
              <w:rPr>
                <w:rFonts w:hint="eastAsia" w:ascii="方正书宋_GBK" w:eastAsia="方正书宋_GBK"/>
                <w:b/>
              </w:rPr>
            </w:pPr>
          </w:p>
        </w:tc>
        <w:tc>
          <w:tcPr>
            <w:tcW w:w="1276" w:type="dxa"/>
            <w:vMerge w:val="continue"/>
            <w:shd w:val="clear" w:color="auto" w:fill="auto"/>
            <w:noWrap w:val="0"/>
            <w:vAlign w:val="center"/>
          </w:tcPr>
          <w:p>
            <w:pPr>
              <w:spacing w:line="300" w:lineRule="exact"/>
              <w:jc w:val="left"/>
              <w:rPr>
                <w:rFonts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2976" w:type="dxa"/>
            <w:vMerge w:val="continue"/>
            <w:shd w:val="clear" w:color="auto" w:fill="auto"/>
            <w:noWrap w:val="0"/>
            <w:vAlign w:val="center"/>
          </w:tcPr>
          <w:p>
            <w:pPr>
              <w:spacing w:line="300" w:lineRule="exact"/>
              <w:jc w:val="left"/>
              <w:rPr>
                <w:rFonts w:hint="eastAsia" w:ascii="方正书宋_GBK" w:eastAsia="方正书宋_GBK"/>
              </w:rPr>
            </w:pP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服务对象满意度</w:t>
            </w:r>
          </w:p>
        </w:tc>
        <w:tc>
          <w:tcPr>
            <w:tcW w:w="737" w:type="dxa"/>
            <w:shd w:val="clear" w:color="auto" w:fill="auto"/>
            <w:noWrap w:val="0"/>
            <w:vAlign w:val="center"/>
          </w:tcPr>
          <w:p>
            <w:pPr>
              <w:spacing w:line="300" w:lineRule="exact"/>
              <w:jc w:val="center"/>
              <w:rPr>
                <w:rFonts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80%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70%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&lt;70%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115" w:hRule="atLeast"/>
          <w:jc w:val="center"/>
        </w:trPr>
        <w:tc>
          <w:tcPr>
            <w:tcW w:w="2341" w:type="dxa"/>
            <w:shd w:val="clear" w:color="auto" w:fill="auto"/>
            <w:noWrap w:val="0"/>
            <w:vAlign w:val="center"/>
          </w:tcPr>
          <w:p>
            <w:pPr>
              <w:spacing w:line="300" w:lineRule="exact"/>
              <w:jc w:val="left"/>
              <w:rPr>
                <w:rFonts w:hint="eastAsia" w:ascii="方正书宋_GBK" w:eastAsia="方正书宋_GBK"/>
                <w:b/>
              </w:rPr>
            </w:pPr>
            <w:r>
              <w:rPr>
                <w:rFonts w:hint="eastAsia" w:ascii="方正书宋_GBK" w:eastAsia="方正书宋_GBK"/>
                <w:b/>
              </w:rPr>
              <w:t>　　</w:t>
            </w:r>
            <w:r>
              <w:rPr>
                <w:rFonts w:ascii="方正书宋_GBK" w:eastAsia="方正书宋_GBK"/>
                <w:b/>
              </w:rPr>
              <w:t>2</w:t>
            </w:r>
            <w:r>
              <w:rPr>
                <w:rFonts w:hint="eastAsia" w:ascii="方正书宋_GBK" w:eastAsia="方正书宋_GBK"/>
                <w:b/>
              </w:rPr>
              <w:t>、综合事务管理</w:t>
            </w:r>
          </w:p>
        </w:tc>
        <w:tc>
          <w:tcPr>
            <w:tcW w:w="1276" w:type="dxa"/>
            <w:shd w:val="clear" w:color="auto" w:fill="auto"/>
            <w:noWrap w:val="0"/>
            <w:vAlign w:val="center"/>
          </w:tcPr>
          <w:p>
            <w:pPr>
              <w:spacing w:line="300" w:lineRule="exact"/>
              <w:jc w:val="left"/>
              <w:rPr>
                <w:rFonts w:ascii="方正书宋_GBK" w:eastAsia="方正书宋_GBK"/>
              </w:rPr>
            </w:pP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推进住房和城乡建设行业信息化建设、建设系统综合管理等综合事务工作，保证行政工作高效有序运行。</w:t>
            </w:r>
          </w:p>
        </w:tc>
        <w:tc>
          <w:tcPr>
            <w:tcW w:w="2976"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提升机关及行业信息化水平，保障机关办公网络、门户网站及各类业务系统安全稳定运行；加大信息宣传力度，创造良好舆论氛围。组织文娱活动，提高干部职工文化和身体素质</w:t>
            </w:r>
          </w:p>
        </w:tc>
        <w:tc>
          <w:tcPr>
            <w:tcW w:w="1417"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综合事务管理工作完成率</w:t>
            </w:r>
          </w:p>
        </w:tc>
        <w:tc>
          <w:tcPr>
            <w:tcW w:w="737" w:type="dxa"/>
            <w:shd w:val="clear" w:color="auto" w:fill="auto"/>
            <w:noWrap w:val="0"/>
            <w:vAlign w:val="center"/>
          </w:tcPr>
          <w:p>
            <w:pPr>
              <w:spacing w:line="300" w:lineRule="exact"/>
              <w:jc w:val="center"/>
              <w:rPr>
                <w:rFonts w:hint="eastAsia" w:ascii="方正书宋_GBK" w:eastAsia="方正书宋_GBK"/>
              </w:rPr>
            </w:pPr>
            <w:r>
              <w:rPr>
                <w:rFonts w:ascii="方正书宋_GBK" w:eastAsia="方正书宋_GBK"/>
              </w:rPr>
              <w:t>100%</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95%</w:t>
            </w:r>
          </w:p>
        </w:tc>
        <w:tc>
          <w:tcPr>
            <w:tcW w:w="737" w:type="dxa"/>
            <w:shd w:val="clear" w:color="auto" w:fill="auto"/>
            <w:noWrap w:val="0"/>
            <w:vAlign w:val="center"/>
          </w:tcPr>
          <w:p>
            <w:pPr>
              <w:spacing w:line="300" w:lineRule="exact"/>
              <w:jc w:val="center"/>
              <w:rPr>
                <w:rFonts w:hint="eastAsia" w:ascii="方正书宋_GBK" w:eastAsia="方正书宋_GBK"/>
              </w:rPr>
            </w:pPr>
            <w:r>
              <w:rPr>
                <w:rFonts w:hint="eastAsia" w:ascii="方正书宋_GBK" w:eastAsia="方正书宋_GBK"/>
              </w:rPr>
              <w:t>≥</w:t>
            </w:r>
            <w:r>
              <w:rPr>
                <w:rFonts w:ascii="方正书宋_GBK" w:eastAsia="方正书宋_GBK"/>
              </w:rPr>
              <w:t>90%</w:t>
            </w:r>
          </w:p>
        </w:tc>
        <w:tc>
          <w:tcPr>
            <w:tcW w:w="737" w:type="dxa"/>
            <w:shd w:val="clear" w:color="auto" w:fill="auto"/>
            <w:noWrap w:val="0"/>
            <w:vAlign w:val="center"/>
          </w:tcPr>
          <w:p>
            <w:pPr>
              <w:spacing w:line="300" w:lineRule="exact"/>
              <w:jc w:val="center"/>
              <w:rPr>
                <w:rFonts w:ascii="方正书宋_GBK" w:eastAsia="方正书宋_GBK"/>
              </w:rPr>
            </w:pPr>
            <w:r>
              <w:rPr>
                <w:rFonts w:ascii="方正书宋_GBK" w:eastAsia="方正书宋_GBK"/>
              </w:rPr>
              <w:t>&lt;90%</w:t>
            </w:r>
          </w:p>
        </w:tc>
      </w:tr>
    </w:tbl>
    <w:p>
      <w:pPr>
        <w:tabs>
          <w:tab w:val="left" w:pos="1156"/>
        </w:tabs>
        <w:rPr>
          <w:rFonts w:hint="eastAsia"/>
          <w:lang w:val="en-US" w:eastAsia="zh-CN"/>
        </w:rPr>
        <w:sectPr>
          <w:pgSz w:w="16839" w:h="11907" w:orient="landscape"/>
          <w:pgMar w:top="1020" w:right="1361" w:bottom="1020" w:left="1361" w:header="851" w:footer="992" w:gutter="0"/>
          <w:cols w:space="425" w:num="1"/>
          <w:docGrid w:type="lines" w:linePitch="312" w:charSpace="0"/>
        </w:sectPr>
      </w:pPr>
    </w:p>
    <w:p>
      <w:pPr>
        <w:autoSpaceDE w:val="0"/>
        <w:autoSpaceDN w:val="0"/>
        <w:adjustRightInd w:val="0"/>
        <w:jc w:val="left"/>
        <w:rPr>
          <w:rFonts w:ascii="黑体" w:hAnsi="黑体" w:eastAsia="黑体" w:cs="Times New Roman"/>
          <w:sz w:val="32"/>
          <w:szCs w:val="32"/>
        </w:rPr>
      </w:pPr>
      <w:r>
        <w:rPr>
          <w:rFonts w:hint="eastAsia" w:ascii="黑体" w:hAnsi="黑体" w:eastAsia="黑体" w:cs="Times New Roman"/>
          <w:sz w:val="32"/>
          <w:szCs w:val="32"/>
        </w:rPr>
        <w:t>六、政府采购预算情况</w:t>
      </w:r>
    </w:p>
    <w:p>
      <w:pPr>
        <w:outlineLvl w:val="0"/>
        <w:rPr>
          <w:rFonts w:hint="eastAsia" w:ascii="仿宋" w:hAnsi="仿宋" w:eastAsia="仿宋" w:cs="仿宋"/>
          <w:sz w:val="32"/>
          <w:szCs w:val="32"/>
        </w:rPr>
      </w:pPr>
      <w:bookmarkStart w:id="2" w:name="_Toc471398468"/>
      <w:r>
        <w:rPr>
          <w:rFonts w:ascii="Times New Roman" w:hAnsi="Times New Roman" w:eastAsia="方正仿宋_GBK" w:cs="Times New Roman"/>
          <w:sz w:val="32"/>
          <w:szCs w:val="24"/>
        </w:rPr>
        <w:t xml:space="preserve">   </w:t>
      </w:r>
      <w:r>
        <w:rPr>
          <w:rFonts w:hint="eastAsia" w:ascii="仿宋" w:hAnsi="仿宋" w:eastAsia="仿宋" w:cs="仿宋"/>
          <w:sz w:val="32"/>
          <w:szCs w:val="32"/>
        </w:rPr>
        <w:t>2019年，我</w:t>
      </w:r>
      <w:r>
        <w:rPr>
          <w:rFonts w:hint="eastAsia" w:ascii="仿宋" w:hAnsi="仿宋" w:eastAsia="仿宋" w:cs="仿宋"/>
          <w:sz w:val="32"/>
          <w:szCs w:val="32"/>
          <w:lang w:eastAsia="zh-CN"/>
        </w:rPr>
        <w:t>单位</w:t>
      </w:r>
      <w:r>
        <w:rPr>
          <w:rFonts w:hint="eastAsia" w:ascii="仿宋" w:hAnsi="仿宋" w:eastAsia="仿宋" w:cs="仿宋"/>
          <w:sz w:val="32"/>
          <w:szCs w:val="32"/>
        </w:rPr>
        <w:t>安排政府采购预算</w:t>
      </w:r>
      <w:r>
        <w:rPr>
          <w:rFonts w:hint="eastAsia" w:ascii="仿宋" w:hAnsi="仿宋" w:eastAsia="仿宋" w:cs="仿宋"/>
          <w:sz w:val="32"/>
          <w:szCs w:val="32"/>
          <w:lang w:val="en-US" w:eastAsia="zh-CN"/>
        </w:rPr>
        <w:t>750</w:t>
      </w:r>
      <w:r>
        <w:rPr>
          <w:rFonts w:hint="eastAsia" w:ascii="仿宋" w:hAnsi="仿宋" w:eastAsia="仿宋" w:cs="仿宋"/>
          <w:sz w:val="32"/>
          <w:szCs w:val="32"/>
        </w:rPr>
        <w:t>万元。具体内容见下表。</w:t>
      </w:r>
    </w:p>
    <w:bookmarkEnd w:id="2"/>
    <w:p>
      <w:pPr>
        <w:jc w:val="center"/>
        <w:outlineLvl w:val="0"/>
        <w:rPr>
          <w:rFonts w:hint="eastAsia" w:ascii="方正小标宋_GBK" w:eastAsia="方正小标宋_GBK"/>
          <w:sz w:val="32"/>
        </w:rPr>
      </w:pPr>
      <w:bookmarkStart w:id="3" w:name="_Toc2350471"/>
      <w:r>
        <w:rPr>
          <w:rFonts w:hint="eastAsia" w:ascii="方正小标宋_GBK" w:eastAsia="方正小标宋_GBK"/>
          <w:sz w:val="32"/>
        </w:rPr>
        <w:t>部门政府采购预算</w:t>
      </w:r>
      <w:bookmarkEnd w:id="3"/>
    </w:p>
    <w:tbl>
      <w:tblPr>
        <w:tblStyle w:val="13"/>
        <w:tblW w:w="14568" w:type="dxa"/>
        <w:jc w:val="center"/>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48"/>
        <w:gridCol w:w="1099"/>
        <w:gridCol w:w="1450"/>
        <w:gridCol w:w="780"/>
        <w:gridCol w:w="490"/>
        <w:gridCol w:w="760"/>
        <w:gridCol w:w="848"/>
        <w:gridCol w:w="961"/>
        <w:gridCol w:w="961"/>
        <w:gridCol w:w="961"/>
        <w:gridCol w:w="961"/>
        <w:gridCol w:w="964"/>
        <w:gridCol w:w="964"/>
        <w:gridCol w:w="92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7875"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left"/>
              <w:rPr>
                <w:rFonts w:ascii="方正小标宋_GBK" w:eastAsia="方正小标宋_GBK"/>
                <w:sz w:val="24"/>
              </w:rPr>
            </w:pPr>
            <w:r>
              <w:rPr>
                <w:rFonts w:ascii="方正小标宋_GBK" w:eastAsia="方正小标宋_GBK"/>
                <w:sz w:val="24"/>
              </w:rPr>
              <w:t>333</w:t>
            </w:r>
            <w:r>
              <w:rPr>
                <w:rFonts w:hint="eastAsia" w:ascii="方正小标宋_GBK" w:eastAsia="方正小标宋_GBK"/>
                <w:sz w:val="24"/>
              </w:rPr>
              <w:t>石家庄市鹿泉区住房和城乡建设局</w:t>
            </w:r>
          </w:p>
        </w:tc>
        <w:tc>
          <w:tcPr>
            <w:tcW w:w="6693" w:type="dxa"/>
            <w:gridSpan w:val="7"/>
            <w:tcBorders>
              <w:top w:val="single" w:color="FFFFFF" w:sz="6" w:space="0"/>
              <w:left w:val="single" w:color="FFFFFF" w:sz="6" w:space="0"/>
              <w:right w:val="single" w:color="FFFFFF" w:sz="6" w:space="0"/>
            </w:tcBorders>
            <w:shd w:val="clear" w:color="auto" w:fill="auto"/>
            <w:noWrap w:val="0"/>
            <w:vAlign w:val="center"/>
          </w:tcPr>
          <w:p>
            <w:pPr>
              <w:spacing w:line="300" w:lineRule="exact"/>
              <w:jc w:val="right"/>
              <w:rPr>
                <w:rFonts w:ascii="方正书宋_GBK" w:eastAsia="方正书宋_GBK"/>
                <w:sz w:val="24"/>
              </w:rPr>
            </w:pPr>
            <w:r>
              <w:rPr>
                <w:rFonts w:hint="eastAsia" w:ascii="方正书宋_GBK" w:eastAsia="方正书宋_GBK"/>
                <w:sz w:val="24"/>
              </w:rPr>
              <w:t>单位：万元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3547" w:type="dxa"/>
            <w:gridSpan w:val="2"/>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政府采购项目来源</w:t>
            </w:r>
          </w:p>
        </w:tc>
        <w:tc>
          <w:tcPr>
            <w:tcW w:w="1450"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采购物品名称</w:t>
            </w:r>
          </w:p>
        </w:tc>
        <w:tc>
          <w:tcPr>
            <w:tcW w:w="780"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政府采购目录序号</w:t>
            </w:r>
          </w:p>
        </w:tc>
        <w:tc>
          <w:tcPr>
            <w:tcW w:w="490"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数量</w:t>
            </w:r>
            <w:r>
              <w:rPr>
                <w:rFonts w:ascii="方正书宋_GBK" w:eastAsia="方正书宋_GBK"/>
                <w:b/>
              </w:rPr>
              <w:t xml:space="preserve">  </w:t>
            </w:r>
            <w:r>
              <w:rPr>
                <w:rFonts w:hint="eastAsia" w:ascii="方正书宋_GBK" w:eastAsia="方正书宋_GBK"/>
                <w:b/>
              </w:rPr>
              <w:t>单位</w:t>
            </w:r>
          </w:p>
        </w:tc>
        <w:tc>
          <w:tcPr>
            <w:tcW w:w="760"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数量</w:t>
            </w:r>
          </w:p>
        </w:tc>
        <w:tc>
          <w:tcPr>
            <w:tcW w:w="848"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单价</w:t>
            </w:r>
          </w:p>
        </w:tc>
        <w:tc>
          <w:tcPr>
            <w:tcW w:w="6693" w:type="dxa"/>
            <w:gridSpan w:val="7"/>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政府采购金额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项目名称</w:t>
            </w:r>
          </w:p>
        </w:tc>
        <w:tc>
          <w:tcPr>
            <w:tcW w:w="1099"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预算资金</w:t>
            </w:r>
          </w:p>
        </w:tc>
        <w:tc>
          <w:tcPr>
            <w:tcW w:w="1450" w:type="dxa"/>
            <w:vMerge w:val="continue"/>
            <w:shd w:val="clear" w:color="auto" w:fill="auto"/>
            <w:noWrap w:val="0"/>
            <w:vAlign w:val="center"/>
          </w:tcPr>
          <w:p>
            <w:pPr>
              <w:spacing w:line="300" w:lineRule="exact"/>
              <w:jc w:val="left"/>
              <w:outlineLvl w:val="0"/>
            </w:pPr>
          </w:p>
        </w:tc>
        <w:tc>
          <w:tcPr>
            <w:tcW w:w="780" w:type="dxa"/>
            <w:vMerge w:val="continue"/>
            <w:shd w:val="clear" w:color="auto" w:fill="auto"/>
            <w:noWrap w:val="0"/>
            <w:vAlign w:val="center"/>
          </w:tcPr>
          <w:p>
            <w:pPr>
              <w:spacing w:line="300" w:lineRule="exact"/>
              <w:jc w:val="left"/>
              <w:outlineLvl w:val="0"/>
            </w:pPr>
          </w:p>
        </w:tc>
        <w:tc>
          <w:tcPr>
            <w:tcW w:w="490" w:type="dxa"/>
            <w:vMerge w:val="continue"/>
            <w:shd w:val="clear" w:color="auto" w:fill="auto"/>
            <w:noWrap w:val="0"/>
            <w:vAlign w:val="center"/>
          </w:tcPr>
          <w:p>
            <w:pPr>
              <w:spacing w:line="300" w:lineRule="exact"/>
              <w:jc w:val="left"/>
              <w:outlineLvl w:val="0"/>
            </w:pPr>
          </w:p>
        </w:tc>
        <w:tc>
          <w:tcPr>
            <w:tcW w:w="760" w:type="dxa"/>
            <w:vMerge w:val="continue"/>
            <w:shd w:val="clear" w:color="auto" w:fill="auto"/>
            <w:noWrap w:val="0"/>
            <w:vAlign w:val="center"/>
          </w:tcPr>
          <w:p>
            <w:pPr>
              <w:spacing w:line="300" w:lineRule="exact"/>
              <w:jc w:val="left"/>
              <w:outlineLvl w:val="0"/>
            </w:pPr>
          </w:p>
        </w:tc>
        <w:tc>
          <w:tcPr>
            <w:tcW w:w="848" w:type="dxa"/>
            <w:vMerge w:val="continue"/>
            <w:shd w:val="clear" w:color="auto" w:fill="auto"/>
            <w:noWrap w:val="0"/>
            <w:vAlign w:val="center"/>
          </w:tcPr>
          <w:p>
            <w:pPr>
              <w:spacing w:line="300" w:lineRule="exact"/>
              <w:jc w:val="left"/>
              <w:outlineLvl w:val="0"/>
            </w:pPr>
          </w:p>
        </w:tc>
        <w:tc>
          <w:tcPr>
            <w:tcW w:w="96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总计</w:t>
            </w:r>
          </w:p>
        </w:tc>
        <w:tc>
          <w:tcPr>
            <w:tcW w:w="4811" w:type="dxa"/>
            <w:gridSpan w:val="5"/>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当年部门预算安排资金</w:t>
            </w:r>
          </w:p>
        </w:tc>
        <w:tc>
          <w:tcPr>
            <w:tcW w:w="921" w:type="dxa"/>
            <w:vMerge w:val="restart"/>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其他渠道资金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tblHeader/>
          <w:jc w:val="center"/>
        </w:trPr>
        <w:tc>
          <w:tcPr>
            <w:tcW w:w="2448" w:type="dxa"/>
            <w:vMerge w:val="continue"/>
            <w:shd w:val="clear" w:color="auto" w:fill="auto"/>
            <w:noWrap w:val="0"/>
            <w:vAlign w:val="center"/>
          </w:tcPr>
          <w:p>
            <w:pPr>
              <w:spacing w:line="300" w:lineRule="exact"/>
              <w:jc w:val="left"/>
              <w:outlineLvl w:val="0"/>
            </w:pPr>
          </w:p>
        </w:tc>
        <w:tc>
          <w:tcPr>
            <w:tcW w:w="1099" w:type="dxa"/>
            <w:vMerge w:val="continue"/>
            <w:shd w:val="clear" w:color="auto" w:fill="auto"/>
            <w:noWrap w:val="0"/>
            <w:vAlign w:val="center"/>
          </w:tcPr>
          <w:p>
            <w:pPr>
              <w:spacing w:line="300" w:lineRule="exact"/>
              <w:jc w:val="left"/>
              <w:outlineLvl w:val="0"/>
            </w:pPr>
          </w:p>
        </w:tc>
        <w:tc>
          <w:tcPr>
            <w:tcW w:w="1450" w:type="dxa"/>
            <w:vMerge w:val="continue"/>
            <w:shd w:val="clear" w:color="auto" w:fill="auto"/>
            <w:noWrap w:val="0"/>
            <w:vAlign w:val="center"/>
          </w:tcPr>
          <w:p>
            <w:pPr>
              <w:spacing w:line="300" w:lineRule="exact"/>
              <w:jc w:val="left"/>
              <w:outlineLvl w:val="0"/>
            </w:pPr>
          </w:p>
        </w:tc>
        <w:tc>
          <w:tcPr>
            <w:tcW w:w="780" w:type="dxa"/>
            <w:vMerge w:val="continue"/>
            <w:shd w:val="clear" w:color="auto" w:fill="auto"/>
            <w:noWrap w:val="0"/>
            <w:vAlign w:val="center"/>
          </w:tcPr>
          <w:p>
            <w:pPr>
              <w:spacing w:line="300" w:lineRule="exact"/>
              <w:jc w:val="left"/>
              <w:outlineLvl w:val="0"/>
            </w:pPr>
          </w:p>
        </w:tc>
        <w:tc>
          <w:tcPr>
            <w:tcW w:w="490" w:type="dxa"/>
            <w:vMerge w:val="continue"/>
            <w:shd w:val="clear" w:color="auto" w:fill="auto"/>
            <w:noWrap w:val="0"/>
            <w:vAlign w:val="center"/>
          </w:tcPr>
          <w:p>
            <w:pPr>
              <w:spacing w:line="300" w:lineRule="exact"/>
              <w:jc w:val="left"/>
              <w:outlineLvl w:val="0"/>
            </w:pPr>
          </w:p>
        </w:tc>
        <w:tc>
          <w:tcPr>
            <w:tcW w:w="760" w:type="dxa"/>
            <w:vMerge w:val="continue"/>
            <w:shd w:val="clear" w:color="auto" w:fill="auto"/>
            <w:noWrap w:val="0"/>
            <w:vAlign w:val="center"/>
          </w:tcPr>
          <w:p>
            <w:pPr>
              <w:spacing w:line="300" w:lineRule="exact"/>
              <w:jc w:val="left"/>
              <w:outlineLvl w:val="0"/>
            </w:pPr>
          </w:p>
        </w:tc>
        <w:tc>
          <w:tcPr>
            <w:tcW w:w="848" w:type="dxa"/>
            <w:vMerge w:val="continue"/>
            <w:shd w:val="clear" w:color="auto" w:fill="auto"/>
            <w:noWrap w:val="0"/>
            <w:vAlign w:val="center"/>
          </w:tcPr>
          <w:p>
            <w:pPr>
              <w:spacing w:line="300" w:lineRule="exact"/>
              <w:jc w:val="left"/>
              <w:outlineLvl w:val="0"/>
            </w:pPr>
          </w:p>
        </w:tc>
        <w:tc>
          <w:tcPr>
            <w:tcW w:w="961" w:type="dxa"/>
            <w:vMerge w:val="continue"/>
            <w:shd w:val="clear" w:color="auto" w:fill="auto"/>
            <w:noWrap w:val="0"/>
            <w:vAlign w:val="center"/>
          </w:tcPr>
          <w:p>
            <w:pPr>
              <w:spacing w:line="300" w:lineRule="exact"/>
              <w:jc w:val="left"/>
              <w:outlineLvl w:val="0"/>
            </w:pPr>
          </w:p>
        </w:tc>
        <w:tc>
          <w:tcPr>
            <w:tcW w:w="96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合计</w:t>
            </w:r>
          </w:p>
        </w:tc>
        <w:tc>
          <w:tcPr>
            <w:tcW w:w="96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一般公共预算拨款</w:t>
            </w:r>
          </w:p>
        </w:tc>
        <w:tc>
          <w:tcPr>
            <w:tcW w:w="961"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基金预算拨款</w:t>
            </w:r>
          </w:p>
        </w:tc>
        <w:tc>
          <w:tcPr>
            <w:tcW w:w="96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财政专户核拨</w:t>
            </w:r>
          </w:p>
        </w:tc>
        <w:tc>
          <w:tcPr>
            <w:tcW w:w="964"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其他来源收入</w:t>
            </w:r>
          </w:p>
        </w:tc>
        <w:tc>
          <w:tcPr>
            <w:tcW w:w="921" w:type="dxa"/>
            <w:vMerge w:val="continue"/>
            <w:shd w:val="clear" w:color="auto" w:fill="auto"/>
            <w:noWrap w:val="0"/>
            <w:vAlign w:val="center"/>
          </w:tcPr>
          <w:p>
            <w:pPr>
              <w:spacing w:line="300" w:lineRule="exact"/>
              <w:jc w:val="left"/>
              <w:outlineLvl w:val="0"/>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center"/>
              <w:rPr>
                <w:rFonts w:ascii="方正书宋_GBK" w:eastAsia="方正书宋_GBK"/>
                <w:b/>
              </w:rPr>
            </w:pPr>
            <w:r>
              <w:rPr>
                <w:rFonts w:hint="eastAsia" w:ascii="方正书宋_GBK" w:eastAsia="方正书宋_GBK"/>
                <w:b/>
              </w:rPr>
              <w:t>合　计</w:t>
            </w:r>
          </w:p>
        </w:tc>
        <w:tc>
          <w:tcPr>
            <w:tcW w:w="1099" w:type="dxa"/>
            <w:shd w:val="clear" w:color="auto" w:fill="auto"/>
            <w:noWrap w:val="0"/>
            <w:vAlign w:val="center"/>
          </w:tcPr>
          <w:p>
            <w:pPr>
              <w:spacing w:line="300" w:lineRule="exact"/>
              <w:jc w:val="right"/>
              <w:rPr>
                <w:rFonts w:ascii="方正书宋_GBK" w:eastAsia="方正书宋_GBK"/>
                <w:b/>
              </w:rPr>
            </w:pPr>
          </w:p>
        </w:tc>
        <w:tc>
          <w:tcPr>
            <w:tcW w:w="1450" w:type="dxa"/>
            <w:shd w:val="clear" w:color="auto" w:fill="auto"/>
            <w:noWrap w:val="0"/>
            <w:vAlign w:val="center"/>
          </w:tcPr>
          <w:p>
            <w:pPr>
              <w:spacing w:line="300" w:lineRule="exact"/>
              <w:jc w:val="left"/>
              <w:rPr>
                <w:rFonts w:ascii="方正书宋_GBK" w:eastAsia="方正书宋_GBK"/>
                <w:b/>
              </w:rPr>
            </w:pPr>
          </w:p>
        </w:tc>
        <w:tc>
          <w:tcPr>
            <w:tcW w:w="780" w:type="dxa"/>
            <w:shd w:val="clear" w:color="auto" w:fill="auto"/>
            <w:noWrap w:val="0"/>
            <w:vAlign w:val="center"/>
          </w:tcPr>
          <w:p>
            <w:pPr>
              <w:spacing w:line="300" w:lineRule="exact"/>
              <w:jc w:val="left"/>
              <w:rPr>
                <w:rFonts w:ascii="方正书宋_GBK" w:eastAsia="方正书宋_GBK"/>
                <w:b/>
              </w:rPr>
            </w:pPr>
          </w:p>
        </w:tc>
        <w:tc>
          <w:tcPr>
            <w:tcW w:w="490" w:type="dxa"/>
            <w:shd w:val="clear" w:color="auto" w:fill="auto"/>
            <w:noWrap w:val="0"/>
            <w:vAlign w:val="center"/>
          </w:tcPr>
          <w:p>
            <w:pPr>
              <w:spacing w:line="300" w:lineRule="exact"/>
              <w:jc w:val="left"/>
              <w:rPr>
                <w:rFonts w:ascii="方正书宋_GBK" w:eastAsia="方正书宋_GBK"/>
                <w:b/>
              </w:rPr>
            </w:pPr>
          </w:p>
        </w:tc>
        <w:tc>
          <w:tcPr>
            <w:tcW w:w="760" w:type="dxa"/>
            <w:shd w:val="clear" w:color="auto" w:fill="auto"/>
            <w:noWrap w:val="0"/>
            <w:vAlign w:val="center"/>
          </w:tcPr>
          <w:p>
            <w:pPr>
              <w:spacing w:line="300" w:lineRule="exact"/>
              <w:jc w:val="right"/>
              <w:rPr>
                <w:rFonts w:ascii="方正书宋_GBK" w:eastAsia="方正书宋_GBK"/>
                <w:b/>
              </w:rPr>
            </w:pPr>
          </w:p>
        </w:tc>
        <w:tc>
          <w:tcPr>
            <w:tcW w:w="848"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750.00</w:t>
            </w: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750.00</w:t>
            </w:r>
          </w:p>
        </w:tc>
        <w:tc>
          <w:tcPr>
            <w:tcW w:w="961"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750.00</w:t>
            </w:r>
          </w:p>
        </w:tc>
        <w:tc>
          <w:tcPr>
            <w:tcW w:w="964" w:type="dxa"/>
            <w:shd w:val="clear" w:color="auto" w:fill="auto"/>
            <w:noWrap w:val="0"/>
            <w:vAlign w:val="center"/>
          </w:tcPr>
          <w:p>
            <w:pPr>
              <w:spacing w:line="300" w:lineRule="exact"/>
              <w:jc w:val="right"/>
              <w:rPr>
                <w:rFonts w:ascii="方正书宋_GBK" w:eastAsia="方正书宋_GBK"/>
                <w:b/>
              </w:rPr>
            </w:pPr>
          </w:p>
        </w:tc>
        <w:tc>
          <w:tcPr>
            <w:tcW w:w="964" w:type="dxa"/>
            <w:shd w:val="clear" w:color="auto" w:fill="auto"/>
            <w:noWrap w:val="0"/>
            <w:vAlign w:val="center"/>
          </w:tcPr>
          <w:p>
            <w:pPr>
              <w:spacing w:line="300" w:lineRule="exact"/>
              <w:jc w:val="right"/>
              <w:rPr>
                <w:rFonts w:ascii="方正书宋_GBK" w:eastAsia="方正书宋_GBK"/>
                <w:b/>
              </w:rPr>
            </w:pPr>
          </w:p>
        </w:tc>
        <w:tc>
          <w:tcPr>
            <w:tcW w:w="921"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石家庄市鹿泉区住房和城乡建设局小计</w:t>
            </w:r>
          </w:p>
        </w:tc>
        <w:tc>
          <w:tcPr>
            <w:tcW w:w="1099" w:type="dxa"/>
            <w:shd w:val="clear" w:color="auto" w:fill="auto"/>
            <w:noWrap w:val="0"/>
            <w:vAlign w:val="center"/>
          </w:tcPr>
          <w:p>
            <w:pPr>
              <w:spacing w:line="300" w:lineRule="exact"/>
              <w:jc w:val="right"/>
              <w:rPr>
                <w:rFonts w:ascii="方正书宋_GBK" w:eastAsia="方正书宋_GBK"/>
                <w:b/>
              </w:rPr>
            </w:pPr>
          </w:p>
        </w:tc>
        <w:tc>
          <w:tcPr>
            <w:tcW w:w="1450" w:type="dxa"/>
            <w:shd w:val="clear" w:color="auto" w:fill="auto"/>
            <w:noWrap w:val="0"/>
            <w:vAlign w:val="center"/>
          </w:tcPr>
          <w:p>
            <w:pPr>
              <w:spacing w:line="300" w:lineRule="exact"/>
              <w:jc w:val="left"/>
              <w:rPr>
                <w:rFonts w:ascii="方正书宋_GBK" w:eastAsia="方正书宋_GBK"/>
                <w:b/>
              </w:rPr>
            </w:pPr>
          </w:p>
        </w:tc>
        <w:tc>
          <w:tcPr>
            <w:tcW w:w="780" w:type="dxa"/>
            <w:shd w:val="clear" w:color="auto" w:fill="auto"/>
            <w:noWrap w:val="0"/>
            <w:vAlign w:val="center"/>
          </w:tcPr>
          <w:p>
            <w:pPr>
              <w:spacing w:line="300" w:lineRule="exact"/>
              <w:jc w:val="left"/>
              <w:rPr>
                <w:rFonts w:ascii="方正书宋_GBK" w:eastAsia="方正书宋_GBK"/>
                <w:b/>
              </w:rPr>
            </w:pPr>
          </w:p>
        </w:tc>
        <w:tc>
          <w:tcPr>
            <w:tcW w:w="490" w:type="dxa"/>
            <w:shd w:val="clear" w:color="auto" w:fill="auto"/>
            <w:noWrap w:val="0"/>
            <w:vAlign w:val="center"/>
          </w:tcPr>
          <w:p>
            <w:pPr>
              <w:spacing w:line="300" w:lineRule="exact"/>
              <w:jc w:val="left"/>
              <w:rPr>
                <w:rFonts w:ascii="方正书宋_GBK" w:eastAsia="方正书宋_GBK"/>
                <w:b/>
              </w:rPr>
            </w:pPr>
          </w:p>
        </w:tc>
        <w:tc>
          <w:tcPr>
            <w:tcW w:w="760" w:type="dxa"/>
            <w:shd w:val="clear" w:color="auto" w:fill="auto"/>
            <w:noWrap w:val="0"/>
            <w:vAlign w:val="center"/>
          </w:tcPr>
          <w:p>
            <w:pPr>
              <w:spacing w:line="300" w:lineRule="exact"/>
              <w:jc w:val="right"/>
              <w:rPr>
                <w:rFonts w:ascii="方正书宋_GBK" w:eastAsia="方正书宋_GBK"/>
                <w:b/>
              </w:rPr>
            </w:pPr>
          </w:p>
        </w:tc>
        <w:tc>
          <w:tcPr>
            <w:tcW w:w="848"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700.00</w:t>
            </w: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700.00</w:t>
            </w:r>
          </w:p>
        </w:tc>
        <w:tc>
          <w:tcPr>
            <w:tcW w:w="961"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700.00</w:t>
            </w:r>
          </w:p>
        </w:tc>
        <w:tc>
          <w:tcPr>
            <w:tcW w:w="964" w:type="dxa"/>
            <w:shd w:val="clear" w:color="auto" w:fill="auto"/>
            <w:noWrap w:val="0"/>
            <w:vAlign w:val="center"/>
          </w:tcPr>
          <w:p>
            <w:pPr>
              <w:spacing w:line="300" w:lineRule="exact"/>
              <w:jc w:val="right"/>
              <w:rPr>
                <w:rFonts w:ascii="方正书宋_GBK" w:eastAsia="方正书宋_GBK"/>
                <w:b/>
              </w:rPr>
            </w:pPr>
          </w:p>
        </w:tc>
        <w:tc>
          <w:tcPr>
            <w:tcW w:w="964" w:type="dxa"/>
            <w:shd w:val="clear" w:color="auto" w:fill="auto"/>
            <w:noWrap w:val="0"/>
            <w:vAlign w:val="center"/>
          </w:tcPr>
          <w:p>
            <w:pPr>
              <w:spacing w:line="300" w:lineRule="exact"/>
              <w:jc w:val="right"/>
              <w:rPr>
                <w:rFonts w:ascii="方正书宋_GBK" w:eastAsia="方正书宋_GBK"/>
                <w:b/>
              </w:rPr>
            </w:pPr>
          </w:p>
        </w:tc>
        <w:tc>
          <w:tcPr>
            <w:tcW w:w="921"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京赞路（黄壁庄</w:t>
            </w:r>
            <w:r>
              <w:rPr>
                <w:rFonts w:hint="cs" w:ascii="方正书宋_GBK" w:eastAsia="方正书宋_GBK"/>
              </w:rPr>
              <w:t>—</w:t>
            </w:r>
            <w:r>
              <w:rPr>
                <w:rFonts w:hint="eastAsia" w:ascii="方正书宋_GBK" w:eastAsia="方正书宋_GBK"/>
              </w:rPr>
              <w:t>石闫线）污水管网</w:t>
            </w:r>
          </w:p>
        </w:tc>
        <w:tc>
          <w:tcPr>
            <w:tcW w:w="1099"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600.00</w:t>
            </w:r>
          </w:p>
        </w:tc>
        <w:tc>
          <w:tcPr>
            <w:tcW w:w="1450" w:type="dxa"/>
            <w:shd w:val="clear" w:color="auto" w:fill="auto"/>
            <w:noWrap w:val="0"/>
            <w:vAlign w:val="center"/>
          </w:tcPr>
          <w:p>
            <w:pPr>
              <w:spacing w:line="300" w:lineRule="exact"/>
              <w:jc w:val="left"/>
              <w:rPr>
                <w:rFonts w:ascii="方正书宋_GBK" w:eastAsia="方正书宋_GBK"/>
              </w:rPr>
            </w:pPr>
            <w:r>
              <w:rPr>
                <w:rFonts w:hint="eastAsia" w:ascii="方正书宋_GBK" w:eastAsia="方正书宋_GBK"/>
              </w:rPr>
              <w:t>市政公共设施用房施工</w:t>
            </w:r>
          </w:p>
        </w:tc>
        <w:tc>
          <w:tcPr>
            <w:tcW w:w="780"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B0113</w:t>
            </w:r>
          </w:p>
        </w:tc>
        <w:tc>
          <w:tcPr>
            <w:tcW w:w="490" w:type="dxa"/>
            <w:shd w:val="clear" w:color="auto" w:fill="auto"/>
            <w:noWrap w:val="0"/>
            <w:vAlign w:val="center"/>
          </w:tcPr>
          <w:p>
            <w:pPr>
              <w:spacing w:line="300" w:lineRule="exact"/>
              <w:jc w:val="left"/>
              <w:rPr>
                <w:rFonts w:ascii="方正书宋_GBK" w:eastAsia="方正书宋_GBK"/>
              </w:rPr>
            </w:pPr>
          </w:p>
        </w:tc>
        <w:tc>
          <w:tcPr>
            <w:tcW w:w="760"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600.00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600.00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600.00</w:t>
            </w:r>
          </w:p>
        </w:tc>
        <w:tc>
          <w:tcPr>
            <w:tcW w:w="961" w:type="dxa"/>
            <w:shd w:val="clear" w:color="auto" w:fill="auto"/>
            <w:noWrap w:val="0"/>
            <w:vAlign w:val="center"/>
          </w:tcPr>
          <w:p>
            <w:pPr>
              <w:spacing w:line="300" w:lineRule="exact"/>
              <w:jc w:val="right"/>
              <w:rPr>
                <w:rFonts w:ascii="方正书宋_GBK" w:eastAsia="方正书宋_GBK"/>
              </w:rPr>
            </w:pP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600.00</w:t>
            </w:r>
          </w:p>
        </w:tc>
        <w:tc>
          <w:tcPr>
            <w:tcW w:w="964" w:type="dxa"/>
            <w:shd w:val="clear" w:color="auto" w:fill="auto"/>
            <w:noWrap w:val="0"/>
            <w:vAlign w:val="center"/>
          </w:tcPr>
          <w:p>
            <w:pPr>
              <w:spacing w:line="300" w:lineRule="exact"/>
              <w:jc w:val="right"/>
              <w:rPr>
                <w:rFonts w:ascii="方正书宋_GBK" w:eastAsia="方正书宋_GBK"/>
              </w:rPr>
            </w:pPr>
          </w:p>
        </w:tc>
        <w:tc>
          <w:tcPr>
            <w:tcW w:w="964" w:type="dxa"/>
            <w:shd w:val="clear" w:color="auto" w:fill="auto"/>
            <w:noWrap w:val="0"/>
            <w:vAlign w:val="center"/>
          </w:tcPr>
          <w:p>
            <w:pPr>
              <w:spacing w:line="300" w:lineRule="exact"/>
              <w:jc w:val="right"/>
              <w:rPr>
                <w:rFonts w:ascii="方正书宋_GBK" w:eastAsia="方正书宋_GBK"/>
              </w:rPr>
            </w:pPr>
          </w:p>
        </w:tc>
        <w:tc>
          <w:tcPr>
            <w:tcW w:w="921"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石邑大街南延</w:t>
            </w:r>
          </w:p>
        </w:tc>
        <w:tc>
          <w:tcPr>
            <w:tcW w:w="1099"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14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市政公共设施用房施工</w:t>
            </w:r>
          </w:p>
        </w:tc>
        <w:tc>
          <w:tcPr>
            <w:tcW w:w="780"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B0113</w:t>
            </w:r>
          </w:p>
        </w:tc>
        <w:tc>
          <w:tcPr>
            <w:tcW w:w="490" w:type="dxa"/>
            <w:shd w:val="clear" w:color="auto" w:fill="auto"/>
            <w:noWrap w:val="0"/>
            <w:vAlign w:val="center"/>
          </w:tcPr>
          <w:p>
            <w:pPr>
              <w:spacing w:line="300" w:lineRule="exact"/>
              <w:jc w:val="left"/>
              <w:rPr>
                <w:rFonts w:ascii="方正书宋_GBK" w:eastAsia="方正书宋_GBK"/>
              </w:rPr>
            </w:pPr>
          </w:p>
        </w:tc>
        <w:tc>
          <w:tcPr>
            <w:tcW w:w="760"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61" w:type="dxa"/>
            <w:shd w:val="clear" w:color="auto" w:fill="auto"/>
            <w:noWrap w:val="0"/>
            <w:vAlign w:val="center"/>
          </w:tcPr>
          <w:p>
            <w:pPr>
              <w:spacing w:line="300" w:lineRule="exact"/>
              <w:jc w:val="right"/>
              <w:rPr>
                <w:rFonts w:ascii="方正书宋_GBK" w:eastAsia="方正书宋_GBK"/>
              </w:rPr>
            </w:pP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100.00</w:t>
            </w:r>
          </w:p>
        </w:tc>
        <w:tc>
          <w:tcPr>
            <w:tcW w:w="964" w:type="dxa"/>
            <w:shd w:val="clear" w:color="auto" w:fill="auto"/>
            <w:noWrap w:val="0"/>
            <w:vAlign w:val="center"/>
          </w:tcPr>
          <w:p>
            <w:pPr>
              <w:spacing w:line="300" w:lineRule="exact"/>
              <w:jc w:val="right"/>
              <w:rPr>
                <w:rFonts w:ascii="方正书宋_GBK" w:eastAsia="方正书宋_GBK"/>
              </w:rPr>
            </w:pPr>
          </w:p>
        </w:tc>
        <w:tc>
          <w:tcPr>
            <w:tcW w:w="964" w:type="dxa"/>
            <w:shd w:val="clear" w:color="auto" w:fill="auto"/>
            <w:noWrap w:val="0"/>
            <w:vAlign w:val="center"/>
          </w:tcPr>
          <w:p>
            <w:pPr>
              <w:spacing w:line="300" w:lineRule="exact"/>
              <w:jc w:val="right"/>
              <w:rPr>
                <w:rFonts w:ascii="方正书宋_GBK" w:eastAsia="方正书宋_GBK"/>
              </w:rPr>
            </w:pPr>
          </w:p>
        </w:tc>
        <w:tc>
          <w:tcPr>
            <w:tcW w:w="921" w:type="dxa"/>
            <w:shd w:val="clear" w:color="auto" w:fill="auto"/>
            <w:noWrap w:val="0"/>
            <w:vAlign w:val="center"/>
          </w:tcPr>
          <w:p>
            <w:pPr>
              <w:spacing w:line="300" w:lineRule="exact"/>
              <w:jc w:val="right"/>
              <w:rPr>
                <w:rFonts w:ascii="方正书宋_GBK" w:eastAsia="方正书宋_GBK"/>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center"/>
              <w:rPr>
                <w:rFonts w:hint="eastAsia" w:ascii="方正书宋_GBK" w:eastAsia="方正书宋_GBK"/>
                <w:b/>
              </w:rPr>
            </w:pPr>
            <w:r>
              <w:rPr>
                <w:rFonts w:hint="eastAsia" w:ascii="方正书宋_GBK" w:eastAsia="方正书宋_GBK"/>
                <w:b/>
              </w:rPr>
              <w:t>石家庄市鹿泉区建筑业管理处小计</w:t>
            </w:r>
          </w:p>
        </w:tc>
        <w:tc>
          <w:tcPr>
            <w:tcW w:w="1099" w:type="dxa"/>
            <w:shd w:val="clear" w:color="auto" w:fill="auto"/>
            <w:noWrap w:val="0"/>
            <w:vAlign w:val="center"/>
          </w:tcPr>
          <w:p>
            <w:pPr>
              <w:spacing w:line="300" w:lineRule="exact"/>
              <w:jc w:val="right"/>
              <w:rPr>
                <w:rFonts w:ascii="方正书宋_GBK" w:eastAsia="方正书宋_GBK"/>
                <w:b/>
              </w:rPr>
            </w:pPr>
          </w:p>
        </w:tc>
        <w:tc>
          <w:tcPr>
            <w:tcW w:w="1450" w:type="dxa"/>
            <w:shd w:val="clear" w:color="auto" w:fill="auto"/>
            <w:noWrap w:val="0"/>
            <w:vAlign w:val="center"/>
          </w:tcPr>
          <w:p>
            <w:pPr>
              <w:spacing w:line="300" w:lineRule="exact"/>
              <w:jc w:val="left"/>
              <w:rPr>
                <w:rFonts w:hint="eastAsia" w:ascii="方正书宋_GBK" w:eastAsia="方正书宋_GBK"/>
                <w:b/>
              </w:rPr>
            </w:pPr>
          </w:p>
        </w:tc>
        <w:tc>
          <w:tcPr>
            <w:tcW w:w="780" w:type="dxa"/>
            <w:shd w:val="clear" w:color="auto" w:fill="auto"/>
            <w:noWrap w:val="0"/>
            <w:vAlign w:val="center"/>
          </w:tcPr>
          <w:p>
            <w:pPr>
              <w:spacing w:line="300" w:lineRule="exact"/>
              <w:jc w:val="left"/>
              <w:rPr>
                <w:rFonts w:ascii="方正书宋_GBK" w:eastAsia="方正书宋_GBK"/>
                <w:b/>
              </w:rPr>
            </w:pPr>
          </w:p>
        </w:tc>
        <w:tc>
          <w:tcPr>
            <w:tcW w:w="490" w:type="dxa"/>
            <w:shd w:val="clear" w:color="auto" w:fill="auto"/>
            <w:noWrap w:val="0"/>
            <w:vAlign w:val="center"/>
          </w:tcPr>
          <w:p>
            <w:pPr>
              <w:spacing w:line="300" w:lineRule="exact"/>
              <w:jc w:val="left"/>
              <w:rPr>
                <w:rFonts w:ascii="方正书宋_GBK" w:eastAsia="方正书宋_GBK"/>
                <w:b/>
              </w:rPr>
            </w:pPr>
          </w:p>
        </w:tc>
        <w:tc>
          <w:tcPr>
            <w:tcW w:w="760" w:type="dxa"/>
            <w:shd w:val="clear" w:color="auto" w:fill="auto"/>
            <w:noWrap w:val="0"/>
            <w:vAlign w:val="center"/>
          </w:tcPr>
          <w:p>
            <w:pPr>
              <w:spacing w:line="300" w:lineRule="exact"/>
              <w:jc w:val="right"/>
              <w:rPr>
                <w:rFonts w:ascii="方正书宋_GBK" w:eastAsia="方正书宋_GBK"/>
                <w:b/>
              </w:rPr>
            </w:pPr>
          </w:p>
        </w:tc>
        <w:tc>
          <w:tcPr>
            <w:tcW w:w="848"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50.00</w:t>
            </w: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50.00</w:t>
            </w:r>
          </w:p>
        </w:tc>
        <w:tc>
          <w:tcPr>
            <w:tcW w:w="961" w:type="dxa"/>
            <w:shd w:val="clear" w:color="auto" w:fill="auto"/>
            <w:noWrap w:val="0"/>
            <w:vAlign w:val="center"/>
          </w:tcPr>
          <w:p>
            <w:pPr>
              <w:spacing w:line="300" w:lineRule="exact"/>
              <w:jc w:val="right"/>
              <w:rPr>
                <w:rFonts w:ascii="方正书宋_GBK" w:eastAsia="方正书宋_GBK"/>
                <w:b/>
              </w:rPr>
            </w:pPr>
          </w:p>
        </w:tc>
        <w:tc>
          <w:tcPr>
            <w:tcW w:w="961" w:type="dxa"/>
            <w:shd w:val="clear" w:color="auto" w:fill="auto"/>
            <w:noWrap w:val="0"/>
            <w:vAlign w:val="center"/>
          </w:tcPr>
          <w:p>
            <w:pPr>
              <w:spacing w:line="300" w:lineRule="exact"/>
              <w:jc w:val="right"/>
              <w:rPr>
                <w:rFonts w:ascii="方正书宋_GBK" w:eastAsia="方正书宋_GBK"/>
                <w:b/>
              </w:rPr>
            </w:pPr>
            <w:r>
              <w:rPr>
                <w:rFonts w:ascii="方正书宋_GBK" w:eastAsia="方正书宋_GBK"/>
                <w:b/>
              </w:rPr>
              <w:t>50.00</w:t>
            </w:r>
          </w:p>
        </w:tc>
        <w:tc>
          <w:tcPr>
            <w:tcW w:w="964" w:type="dxa"/>
            <w:shd w:val="clear" w:color="auto" w:fill="auto"/>
            <w:noWrap w:val="0"/>
            <w:vAlign w:val="center"/>
          </w:tcPr>
          <w:p>
            <w:pPr>
              <w:spacing w:line="300" w:lineRule="exact"/>
              <w:jc w:val="right"/>
              <w:rPr>
                <w:rFonts w:ascii="方正书宋_GBK" w:eastAsia="方正书宋_GBK"/>
                <w:b/>
              </w:rPr>
            </w:pPr>
          </w:p>
        </w:tc>
        <w:tc>
          <w:tcPr>
            <w:tcW w:w="964" w:type="dxa"/>
            <w:shd w:val="clear" w:color="auto" w:fill="auto"/>
            <w:noWrap w:val="0"/>
            <w:vAlign w:val="center"/>
          </w:tcPr>
          <w:p>
            <w:pPr>
              <w:spacing w:line="300" w:lineRule="exact"/>
              <w:jc w:val="right"/>
              <w:rPr>
                <w:rFonts w:ascii="方正书宋_GBK" w:eastAsia="方正书宋_GBK"/>
                <w:b/>
              </w:rPr>
            </w:pPr>
          </w:p>
        </w:tc>
        <w:tc>
          <w:tcPr>
            <w:tcW w:w="921" w:type="dxa"/>
            <w:shd w:val="clear" w:color="auto" w:fill="auto"/>
            <w:noWrap w:val="0"/>
            <w:vAlign w:val="center"/>
          </w:tcPr>
          <w:p>
            <w:pPr>
              <w:spacing w:line="300" w:lineRule="exact"/>
              <w:jc w:val="right"/>
              <w:rPr>
                <w:rFonts w:ascii="方正书宋_GBK" w:eastAsia="方正书宋_GBK"/>
                <w:b/>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Ex>
        <w:trPr>
          <w:jc w:val="center"/>
        </w:trPr>
        <w:tc>
          <w:tcPr>
            <w:tcW w:w="2448"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建设工程实体及原材料质量抽测及安全监督专项费</w:t>
            </w:r>
          </w:p>
        </w:tc>
        <w:tc>
          <w:tcPr>
            <w:tcW w:w="1099"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w:t>
            </w:r>
          </w:p>
        </w:tc>
        <w:tc>
          <w:tcPr>
            <w:tcW w:w="1450" w:type="dxa"/>
            <w:shd w:val="clear" w:color="auto" w:fill="auto"/>
            <w:noWrap w:val="0"/>
            <w:vAlign w:val="center"/>
          </w:tcPr>
          <w:p>
            <w:pPr>
              <w:spacing w:line="300" w:lineRule="exact"/>
              <w:jc w:val="left"/>
              <w:rPr>
                <w:rFonts w:hint="eastAsia" w:ascii="方正书宋_GBK" w:eastAsia="方正书宋_GBK"/>
              </w:rPr>
            </w:pPr>
            <w:r>
              <w:rPr>
                <w:rFonts w:hint="eastAsia" w:ascii="方正书宋_GBK" w:eastAsia="方正书宋_GBK"/>
              </w:rPr>
              <w:t>市政公共设施用房施工</w:t>
            </w:r>
          </w:p>
        </w:tc>
        <w:tc>
          <w:tcPr>
            <w:tcW w:w="780" w:type="dxa"/>
            <w:shd w:val="clear" w:color="auto" w:fill="auto"/>
            <w:noWrap w:val="0"/>
            <w:vAlign w:val="center"/>
          </w:tcPr>
          <w:p>
            <w:pPr>
              <w:spacing w:line="300" w:lineRule="exact"/>
              <w:jc w:val="left"/>
              <w:rPr>
                <w:rFonts w:ascii="方正书宋_GBK" w:eastAsia="方正书宋_GBK"/>
              </w:rPr>
            </w:pPr>
            <w:r>
              <w:rPr>
                <w:rFonts w:ascii="方正书宋_GBK" w:eastAsia="方正书宋_GBK"/>
              </w:rPr>
              <w:t>B0113</w:t>
            </w:r>
          </w:p>
        </w:tc>
        <w:tc>
          <w:tcPr>
            <w:tcW w:w="490" w:type="dxa"/>
            <w:shd w:val="clear" w:color="auto" w:fill="auto"/>
            <w:noWrap w:val="0"/>
            <w:vAlign w:val="center"/>
          </w:tcPr>
          <w:p>
            <w:pPr>
              <w:spacing w:line="300" w:lineRule="exact"/>
              <w:jc w:val="left"/>
              <w:rPr>
                <w:rFonts w:ascii="方正书宋_GBK" w:eastAsia="方正书宋_GBK"/>
              </w:rPr>
            </w:pPr>
          </w:p>
        </w:tc>
        <w:tc>
          <w:tcPr>
            <w:tcW w:w="760"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1.00</w:t>
            </w:r>
          </w:p>
        </w:tc>
        <w:tc>
          <w:tcPr>
            <w:tcW w:w="848"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w:t>
            </w: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w:t>
            </w:r>
          </w:p>
        </w:tc>
        <w:tc>
          <w:tcPr>
            <w:tcW w:w="961" w:type="dxa"/>
            <w:shd w:val="clear" w:color="auto" w:fill="auto"/>
            <w:noWrap w:val="0"/>
            <w:vAlign w:val="center"/>
          </w:tcPr>
          <w:p>
            <w:pPr>
              <w:spacing w:line="300" w:lineRule="exact"/>
              <w:jc w:val="right"/>
              <w:rPr>
                <w:rFonts w:ascii="方正书宋_GBK" w:eastAsia="方正书宋_GBK"/>
              </w:rPr>
            </w:pPr>
          </w:p>
        </w:tc>
        <w:tc>
          <w:tcPr>
            <w:tcW w:w="961" w:type="dxa"/>
            <w:shd w:val="clear" w:color="auto" w:fill="auto"/>
            <w:noWrap w:val="0"/>
            <w:vAlign w:val="center"/>
          </w:tcPr>
          <w:p>
            <w:pPr>
              <w:spacing w:line="300" w:lineRule="exact"/>
              <w:jc w:val="right"/>
              <w:rPr>
                <w:rFonts w:ascii="方正书宋_GBK" w:eastAsia="方正书宋_GBK"/>
              </w:rPr>
            </w:pPr>
            <w:r>
              <w:rPr>
                <w:rFonts w:ascii="方正书宋_GBK" w:eastAsia="方正书宋_GBK"/>
              </w:rPr>
              <w:t>50.00</w:t>
            </w:r>
          </w:p>
        </w:tc>
        <w:tc>
          <w:tcPr>
            <w:tcW w:w="964" w:type="dxa"/>
            <w:shd w:val="clear" w:color="auto" w:fill="auto"/>
            <w:noWrap w:val="0"/>
            <w:vAlign w:val="center"/>
          </w:tcPr>
          <w:p>
            <w:pPr>
              <w:spacing w:line="300" w:lineRule="exact"/>
              <w:jc w:val="right"/>
              <w:rPr>
                <w:rFonts w:ascii="方正书宋_GBK" w:eastAsia="方正书宋_GBK"/>
              </w:rPr>
            </w:pPr>
          </w:p>
        </w:tc>
        <w:tc>
          <w:tcPr>
            <w:tcW w:w="964" w:type="dxa"/>
            <w:shd w:val="clear" w:color="auto" w:fill="auto"/>
            <w:noWrap w:val="0"/>
            <w:vAlign w:val="center"/>
          </w:tcPr>
          <w:p>
            <w:pPr>
              <w:spacing w:line="300" w:lineRule="exact"/>
              <w:jc w:val="right"/>
              <w:rPr>
                <w:rFonts w:ascii="方正书宋_GBK" w:eastAsia="方正书宋_GBK"/>
              </w:rPr>
            </w:pPr>
          </w:p>
        </w:tc>
        <w:tc>
          <w:tcPr>
            <w:tcW w:w="921" w:type="dxa"/>
            <w:shd w:val="clear" w:color="auto" w:fill="auto"/>
            <w:noWrap w:val="0"/>
            <w:vAlign w:val="center"/>
          </w:tcPr>
          <w:p>
            <w:pPr>
              <w:spacing w:line="300" w:lineRule="exact"/>
              <w:jc w:val="right"/>
              <w:rPr>
                <w:rFonts w:ascii="方正书宋_GBK" w:eastAsia="方正书宋_GBK"/>
              </w:rPr>
            </w:pPr>
          </w:p>
        </w:tc>
      </w:tr>
    </w:tbl>
    <w:p>
      <w:pPr>
        <w:autoSpaceDE w:val="0"/>
        <w:autoSpaceDN w:val="0"/>
        <w:adjustRightInd w:val="0"/>
        <w:ind w:left="198" w:firstLine="640" w:firstLineChars="200"/>
        <w:jc w:val="left"/>
        <w:rPr>
          <w:rFonts w:ascii="黑体" w:hAnsi="黑体" w:eastAsia="黑体" w:cs="Times New Roman"/>
          <w:sz w:val="32"/>
          <w:szCs w:val="32"/>
        </w:rPr>
      </w:pPr>
    </w:p>
    <w:p>
      <w:pPr>
        <w:autoSpaceDE w:val="0"/>
        <w:autoSpaceDN w:val="0"/>
        <w:adjustRightInd w:val="0"/>
        <w:ind w:firstLine="640" w:firstLineChars="200"/>
        <w:jc w:val="left"/>
        <w:rPr>
          <w:rFonts w:ascii="黑体" w:hAnsi="黑体" w:eastAsia="黑体" w:cs="Times New Roman"/>
          <w:sz w:val="32"/>
          <w:szCs w:val="32"/>
        </w:rPr>
      </w:pPr>
      <w:r>
        <w:rPr>
          <w:rFonts w:hint="eastAsia" w:ascii="黑体" w:hAnsi="黑体" w:eastAsia="黑体" w:cs="Times New Roman"/>
          <w:sz w:val="32"/>
          <w:szCs w:val="32"/>
        </w:rPr>
        <w:t>七、国有资产信息</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我单位</w:t>
      </w:r>
      <w:r>
        <w:rPr>
          <w:rFonts w:hint="eastAsia" w:ascii="仿宋" w:hAnsi="仿宋" w:eastAsia="仿宋" w:cs="仿宋"/>
          <w:sz w:val="32"/>
          <w:szCs w:val="32"/>
        </w:rPr>
        <w:t>（含所属单位）上年末固定资产金额为</w:t>
      </w:r>
      <w:r>
        <w:rPr>
          <w:rFonts w:hint="eastAsia" w:ascii="仿宋" w:hAnsi="仿宋" w:eastAsia="仿宋" w:cs="仿宋"/>
          <w:sz w:val="32"/>
          <w:szCs w:val="32"/>
          <w:lang w:val="en-US" w:eastAsia="zh-CN"/>
        </w:rPr>
        <w:t>2574.15</w:t>
      </w:r>
      <w:r>
        <w:rPr>
          <w:rFonts w:hint="eastAsia" w:ascii="仿宋" w:hAnsi="仿宋" w:eastAsia="仿宋" w:cs="仿宋"/>
          <w:sz w:val="32"/>
          <w:szCs w:val="32"/>
        </w:rPr>
        <w:t>万元（详见下表），本年度各单位（</w:t>
      </w:r>
      <w:r>
        <w:rPr>
          <w:rFonts w:hint="eastAsia" w:ascii="仿宋" w:hAnsi="仿宋" w:eastAsia="仿宋" w:cs="仿宋"/>
          <w:sz w:val="32"/>
          <w:szCs w:val="32"/>
          <w:lang w:eastAsia="zh-CN"/>
        </w:rPr>
        <w:t>科</w:t>
      </w:r>
      <w:r>
        <w:rPr>
          <w:rFonts w:hint="eastAsia" w:ascii="仿宋" w:hAnsi="仿宋" w:eastAsia="仿宋" w:cs="仿宋"/>
          <w:sz w:val="32"/>
          <w:szCs w:val="32"/>
        </w:rPr>
        <w:t>室）拟购置固定资产总额为</w:t>
      </w:r>
      <w:r>
        <w:rPr>
          <w:rFonts w:hint="eastAsia" w:ascii="仿宋" w:hAnsi="仿宋" w:eastAsia="仿宋" w:cs="仿宋"/>
          <w:sz w:val="32"/>
          <w:szCs w:val="32"/>
          <w:lang w:val="en-US" w:eastAsia="zh-CN"/>
        </w:rPr>
        <w:t>30</w:t>
      </w:r>
      <w:r>
        <w:rPr>
          <w:rFonts w:hint="eastAsia" w:ascii="仿宋" w:hAnsi="仿宋" w:eastAsia="仿宋" w:cs="仿宋"/>
          <w:sz w:val="32"/>
          <w:szCs w:val="32"/>
        </w:rPr>
        <w:t>万元，主要为计算机设备、打印设备等。</w:t>
      </w:r>
    </w:p>
    <w:tbl>
      <w:tblPr>
        <w:tblStyle w:val="13"/>
        <w:tblW w:w="13482" w:type="dxa"/>
        <w:tblInd w:w="93" w:type="dxa"/>
        <w:tblLayout w:type="fixed"/>
        <w:tblCellMar>
          <w:top w:w="0" w:type="dxa"/>
          <w:left w:w="108" w:type="dxa"/>
          <w:bottom w:w="0" w:type="dxa"/>
          <w:right w:w="108" w:type="dxa"/>
        </w:tblCellMar>
      </w:tblPr>
      <w:tblGrid>
        <w:gridCol w:w="5224"/>
        <w:gridCol w:w="3155"/>
        <w:gridCol w:w="5103"/>
      </w:tblGrid>
      <w:tr>
        <w:tblPrEx>
          <w:tblLayout w:type="fixed"/>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vAlign w:val="center"/>
          </w:tcPr>
          <w:p>
            <w:pPr>
              <w:widowControl/>
              <w:jc w:val="center"/>
              <w:rPr>
                <w:rFonts w:ascii="宋体" w:hAnsi="宋体" w:eastAsia="宋体" w:cs="宋体"/>
                <w:b/>
                <w:bCs/>
                <w:kern w:val="0"/>
                <w:sz w:val="32"/>
                <w:szCs w:val="32"/>
              </w:rPr>
            </w:pPr>
            <w:r>
              <w:rPr>
                <w:rFonts w:hint="eastAsia" w:ascii="宋体" w:hAnsi="宋体" w:eastAsia="宋体" w:cs="宋体"/>
                <w:b/>
                <w:bCs/>
                <w:kern w:val="0"/>
                <w:sz w:val="32"/>
                <w:szCs w:val="32"/>
              </w:rPr>
              <w:t>固定资产占用情况表</w:t>
            </w:r>
          </w:p>
        </w:tc>
      </w:tr>
      <w:tr>
        <w:tblPrEx>
          <w:tblLayout w:type="fixed"/>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编制部门：</w:t>
            </w:r>
            <w:r>
              <w:rPr>
                <w:rFonts w:hint="eastAsia" w:asciiTheme="majorEastAsia" w:hAnsiTheme="majorEastAsia" w:eastAsiaTheme="majorEastAsia" w:cstheme="majorEastAsia"/>
                <w:sz w:val="22"/>
                <w:szCs w:val="22"/>
                <w:lang w:val="en-US" w:eastAsia="zh-CN"/>
              </w:rPr>
              <w:t xml:space="preserve">石家庄市鹿泉区住房和城乡建设局 </w:t>
            </w:r>
          </w:p>
        </w:tc>
        <w:tc>
          <w:tcPr>
            <w:tcW w:w="5103" w:type="dxa"/>
            <w:tcBorders>
              <w:top w:val="nil"/>
              <w:left w:val="nil"/>
              <w:bottom w:val="nil"/>
              <w:right w:val="nil"/>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截止时间：2018年12月31日  </w:t>
            </w:r>
          </w:p>
        </w:tc>
      </w:tr>
      <w:tr>
        <w:tblPrEx>
          <w:tblLayout w:type="fixed"/>
          <w:tblCellMar>
            <w:top w:w="0" w:type="dxa"/>
            <w:left w:w="108" w:type="dxa"/>
            <w:bottom w:w="0" w:type="dxa"/>
            <w:right w:w="108" w:type="dxa"/>
          </w:tblCellMar>
        </w:tblPrEx>
        <w:trPr>
          <w:trHeight w:val="645" w:hRule="atLeast"/>
        </w:trPr>
        <w:tc>
          <w:tcPr>
            <w:tcW w:w="522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价值（金额单位：万元）</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资产总额</w:t>
            </w:r>
          </w:p>
        </w:tc>
        <w:tc>
          <w:tcPr>
            <w:tcW w:w="3155"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宋体" w:cs="Times New Roman"/>
                <w:kern w:val="0"/>
                <w:sz w:val="22"/>
              </w:rPr>
            </w:pPr>
            <w:r>
              <w:rPr>
                <w:rFonts w:ascii="Times New Roman" w:hAnsi="Times New Roman" w:eastAsia="宋体" w:cs="Times New Roman"/>
                <w:kern w:val="0"/>
                <w:sz w:val="22"/>
              </w:rPr>
              <w:t>——</w:t>
            </w:r>
          </w:p>
        </w:tc>
        <w:tc>
          <w:tcPr>
            <w:tcW w:w="5103"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宋体" w:cs="Times New Roman"/>
                <w:kern w:val="0"/>
                <w:sz w:val="22"/>
                <w:lang w:val="en-US" w:eastAsia="zh-CN"/>
              </w:rPr>
            </w:pPr>
            <w:r>
              <w:rPr>
                <w:rFonts w:hint="eastAsia" w:ascii="Times New Roman" w:hAnsi="Times New Roman" w:eastAsia="宋体" w:cs="Times New Roman"/>
                <w:kern w:val="0"/>
                <w:sz w:val="22"/>
                <w:lang w:val="en-US" w:eastAsia="zh-CN"/>
              </w:rPr>
              <w:t>2679.23</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1、房屋（平方米）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10773</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1815.48</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其中：办公用房（平方米）</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7806</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bookmarkStart w:id="4" w:name="_GoBack"/>
            <w:bookmarkEnd w:id="4"/>
            <w:r>
              <w:rPr>
                <w:rFonts w:hint="eastAsia" w:ascii="Times New Roman" w:hAnsi="Times New Roman" w:cs="Times New Roman"/>
                <w:sz w:val="22"/>
                <w:lang w:val="en-US" w:eastAsia="zh-CN"/>
              </w:rPr>
              <w:t>1331.18</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2、车辆（台、辆）</w:t>
            </w:r>
          </w:p>
        </w:tc>
        <w:tc>
          <w:tcPr>
            <w:tcW w:w="3155"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eastAsia="zh-CN"/>
              </w:rPr>
            </w:pPr>
            <w:r>
              <w:rPr>
                <w:rFonts w:hint="eastAsia" w:ascii="Times New Roman" w:hAnsi="Times New Roman" w:cs="Times New Roman"/>
                <w:sz w:val="22"/>
                <w:lang w:val="en-US" w:eastAsia="zh-CN"/>
              </w:rPr>
              <w:t>8</w:t>
            </w: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88.19</w:t>
            </w: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3、单价在20万元以上的设备</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r>
      <w:tr>
        <w:tblPrEx>
          <w:tblLayout w:type="fixed"/>
          <w:tblCellMar>
            <w:top w:w="0" w:type="dxa"/>
            <w:left w:w="108" w:type="dxa"/>
            <w:bottom w:w="0" w:type="dxa"/>
            <w:right w:w="108" w:type="dxa"/>
          </w:tblCellMar>
        </w:tblPrEx>
        <w:trPr>
          <w:trHeight w:val="645" w:hRule="atLeast"/>
        </w:trPr>
        <w:tc>
          <w:tcPr>
            <w:tcW w:w="522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eastAsia="宋体" w:cs="宋体"/>
                <w:kern w:val="0"/>
                <w:sz w:val="22"/>
              </w:rPr>
            </w:pPr>
            <w:r>
              <w:rPr>
                <w:rFonts w:hint="eastAsia" w:ascii="宋体" w:hAnsi="宋体" w:eastAsia="宋体" w:cs="宋体"/>
                <w:kern w:val="0"/>
                <w:sz w:val="22"/>
              </w:rPr>
              <w:t>4、其他固定资产</w:t>
            </w:r>
          </w:p>
        </w:tc>
        <w:tc>
          <w:tcPr>
            <w:tcW w:w="3155" w:type="dxa"/>
            <w:tcBorders>
              <w:top w:val="nil"/>
              <w:left w:val="nil"/>
              <w:bottom w:val="single" w:color="auto" w:sz="4" w:space="0"/>
              <w:right w:val="single" w:color="auto" w:sz="4" w:space="0"/>
            </w:tcBorders>
            <w:shd w:val="clear" w:color="auto" w:fill="auto"/>
            <w:vAlign w:val="center"/>
          </w:tcPr>
          <w:p>
            <w:pPr>
              <w:jc w:val="center"/>
              <w:rPr>
                <w:rFonts w:ascii="Times New Roman" w:hAnsi="Times New Roman" w:cs="Times New Roman"/>
                <w:sz w:val="22"/>
              </w:rPr>
            </w:pPr>
          </w:p>
        </w:tc>
        <w:tc>
          <w:tcPr>
            <w:tcW w:w="5103" w:type="dxa"/>
            <w:tcBorders>
              <w:top w:val="nil"/>
              <w:left w:val="nil"/>
              <w:bottom w:val="single" w:color="auto" w:sz="4" w:space="0"/>
              <w:right w:val="single" w:color="auto" w:sz="4" w:space="0"/>
            </w:tcBorders>
            <w:shd w:val="clear" w:color="auto" w:fill="auto"/>
            <w:vAlign w:val="center"/>
          </w:tcPr>
          <w:p>
            <w:pPr>
              <w:jc w:val="center"/>
              <w:rPr>
                <w:rFonts w:hint="eastAsia" w:ascii="Times New Roman" w:hAnsi="Times New Roman" w:cs="Times New Roman" w:eastAsiaTheme="minorEastAsia"/>
                <w:sz w:val="22"/>
                <w:lang w:val="en-US" w:eastAsia="zh-CN"/>
              </w:rPr>
            </w:pPr>
            <w:r>
              <w:rPr>
                <w:rFonts w:hint="eastAsia" w:ascii="Times New Roman" w:hAnsi="Times New Roman" w:cs="Times New Roman"/>
                <w:sz w:val="22"/>
                <w:lang w:val="en-US" w:eastAsia="zh-CN"/>
              </w:rPr>
              <w:t>488.01</w:t>
            </w:r>
          </w:p>
        </w:tc>
      </w:tr>
    </w:tbl>
    <w:p>
      <w:pPr>
        <w:autoSpaceDE w:val="0"/>
        <w:autoSpaceDN w:val="0"/>
        <w:adjustRightInd w:val="0"/>
        <w:ind w:left="198" w:firstLine="640" w:firstLineChars="200"/>
        <w:jc w:val="left"/>
        <w:rPr>
          <w:rFonts w:hint="eastAsia" w:ascii="黑体" w:hAnsi="黑体" w:eastAsia="黑体" w:cs="Times New Roman"/>
          <w:sz w:val="32"/>
          <w:szCs w:val="32"/>
        </w:rPr>
      </w:pP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八、名词解释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1、一般公共预算拨款收入：指财政</w:t>
      </w:r>
      <w:r>
        <w:rPr>
          <w:rFonts w:hint="eastAsia" w:ascii="仿宋" w:hAnsi="仿宋" w:eastAsia="仿宋" w:cs="仿宋"/>
          <w:sz w:val="32"/>
          <w:szCs w:val="32"/>
          <w:lang w:eastAsia="zh-CN"/>
        </w:rPr>
        <w:t>部门</w:t>
      </w:r>
      <w:r>
        <w:rPr>
          <w:rFonts w:hint="eastAsia" w:ascii="仿宋" w:hAnsi="仿宋" w:eastAsia="仿宋" w:cs="仿宋"/>
          <w:sz w:val="32"/>
          <w:szCs w:val="32"/>
        </w:rPr>
        <w:t>当年拨付的资金。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2、事业收入：指事业单位开展专业业务活动及辅助活动所取得的收入。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3、其他收入：指除“一般公共预算拨款收入”、“事业收入”等以外的收入。主要是按规定动用的租房收入、存款利息收入等。</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4、基本支出：指为保障机构正常运转、完成日常工作任务而发生的人员支出和公用支出。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5、项目支出：指在基本支出之外为完成特定行政任务和事业发展目标所发生的支出。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6、上缴上级支出：指下级单位上缴上级的支出。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7、“三公”经费：纳入财政预算管理的“三公”经费，是指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8、机关运行费：是指部门的公用经费，包括办公及印刷费、邮电费、差旅费、会议费、福利费、日常维修费、专用材料及一般设备购置费、办公用房水电费、办公用房取暖费、办公用房物业管理费、公务用车运行维护费以及其他费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9、上年结转：指以前年度尚未完成、结转到本年仍按原规定用途继续使用的资金。</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10、事业单位经营支出：指事业单位在专业业务活动及其辅助活动之外开展非独立核算经营活动发生的支出。</w:t>
      </w:r>
    </w:p>
    <w:p>
      <w:pPr>
        <w:autoSpaceDE w:val="0"/>
        <w:autoSpaceDN w:val="0"/>
        <w:adjustRightInd w:val="0"/>
        <w:ind w:left="198" w:firstLine="640" w:firstLineChars="200"/>
        <w:jc w:val="left"/>
        <w:rPr>
          <w:rFonts w:ascii="黑体" w:hAnsi="黑体" w:eastAsia="黑体" w:cs="Times New Roman"/>
          <w:sz w:val="32"/>
          <w:szCs w:val="32"/>
        </w:rPr>
      </w:pPr>
      <w:r>
        <w:rPr>
          <w:rFonts w:hint="eastAsia" w:ascii="黑体" w:hAnsi="黑体" w:eastAsia="黑体" w:cs="Times New Roman"/>
          <w:sz w:val="32"/>
          <w:szCs w:val="32"/>
        </w:rPr>
        <w:t>九、其他需要说明的事项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我部门无其他需要说明的事项。</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楷体_GBK">
    <w:altName w:val="宋体"/>
    <w:panose1 w:val="00000000000000000000"/>
    <w:charset w:val="86"/>
    <w:family w:val="roman"/>
    <w:pitch w:val="default"/>
    <w:sig w:usb0="00000000" w:usb1="00000000" w:usb2="00000000"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7"/>
        <w:rPr>
          <w:rFonts w:hint="eastAsia"/>
        </w:rPr>
      </w:pPr>
      <w:r>
        <w:rPr>
          <w:rFonts w:hint="eastAsia" w:ascii="方正楷体_GBK" w:eastAsia="方正楷体_GBK"/>
          <w:sz w:val="24"/>
        </w:rPr>
        <w:t>备注：表中的年度预算数为项目支出，部门工作活动虽未安排项目支出，但由基本支出保障，由于基本支出无法拆分到相应的工作活动，因此部分工作活动没有列示年度预算数。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EE1DB0"/>
    <w:multiLevelType w:val="singleLevel"/>
    <w:tmpl w:val="79EE1DB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66032"/>
    <w:rsid w:val="00034786"/>
    <w:rsid w:val="00037AF6"/>
    <w:rsid w:val="00042F57"/>
    <w:rsid w:val="0006483E"/>
    <w:rsid w:val="00075D5F"/>
    <w:rsid w:val="0008102F"/>
    <w:rsid w:val="000B529B"/>
    <w:rsid w:val="000C3A19"/>
    <w:rsid w:val="001245BB"/>
    <w:rsid w:val="001251A3"/>
    <w:rsid w:val="00165294"/>
    <w:rsid w:val="001B4EF3"/>
    <w:rsid w:val="001F7873"/>
    <w:rsid w:val="00241FD4"/>
    <w:rsid w:val="00251B12"/>
    <w:rsid w:val="00296113"/>
    <w:rsid w:val="002A673A"/>
    <w:rsid w:val="002C07BE"/>
    <w:rsid w:val="002C5E13"/>
    <w:rsid w:val="002C62BC"/>
    <w:rsid w:val="002E0EB8"/>
    <w:rsid w:val="002F3E58"/>
    <w:rsid w:val="0030542C"/>
    <w:rsid w:val="00311B7A"/>
    <w:rsid w:val="00372FA3"/>
    <w:rsid w:val="003D417F"/>
    <w:rsid w:val="003F60E9"/>
    <w:rsid w:val="004248B8"/>
    <w:rsid w:val="00424943"/>
    <w:rsid w:val="0043175C"/>
    <w:rsid w:val="00437296"/>
    <w:rsid w:val="00451590"/>
    <w:rsid w:val="00451871"/>
    <w:rsid w:val="004631FC"/>
    <w:rsid w:val="004706DE"/>
    <w:rsid w:val="00472923"/>
    <w:rsid w:val="00496109"/>
    <w:rsid w:val="004B0C3A"/>
    <w:rsid w:val="004D5788"/>
    <w:rsid w:val="004E3066"/>
    <w:rsid w:val="004E74CD"/>
    <w:rsid w:val="00516E04"/>
    <w:rsid w:val="00565588"/>
    <w:rsid w:val="00572067"/>
    <w:rsid w:val="00573562"/>
    <w:rsid w:val="00590ECE"/>
    <w:rsid w:val="00592ADD"/>
    <w:rsid w:val="00614A29"/>
    <w:rsid w:val="00643AA7"/>
    <w:rsid w:val="00673D76"/>
    <w:rsid w:val="00674CD7"/>
    <w:rsid w:val="006854F0"/>
    <w:rsid w:val="006B1C4A"/>
    <w:rsid w:val="006B610D"/>
    <w:rsid w:val="006E49F5"/>
    <w:rsid w:val="007013C8"/>
    <w:rsid w:val="00717B1E"/>
    <w:rsid w:val="00753836"/>
    <w:rsid w:val="0075393C"/>
    <w:rsid w:val="00754592"/>
    <w:rsid w:val="00776C08"/>
    <w:rsid w:val="007C219A"/>
    <w:rsid w:val="007E1DA8"/>
    <w:rsid w:val="007F6C26"/>
    <w:rsid w:val="00813208"/>
    <w:rsid w:val="008334AE"/>
    <w:rsid w:val="00836FED"/>
    <w:rsid w:val="0083724E"/>
    <w:rsid w:val="00845CD2"/>
    <w:rsid w:val="00852B0D"/>
    <w:rsid w:val="00881692"/>
    <w:rsid w:val="00883D1A"/>
    <w:rsid w:val="008A25C2"/>
    <w:rsid w:val="008A6576"/>
    <w:rsid w:val="008B3CC5"/>
    <w:rsid w:val="008B52CD"/>
    <w:rsid w:val="008E4261"/>
    <w:rsid w:val="008F4662"/>
    <w:rsid w:val="00905D08"/>
    <w:rsid w:val="00922AEB"/>
    <w:rsid w:val="00925753"/>
    <w:rsid w:val="009425F4"/>
    <w:rsid w:val="00966C5C"/>
    <w:rsid w:val="00973104"/>
    <w:rsid w:val="00995BF0"/>
    <w:rsid w:val="009A16D5"/>
    <w:rsid w:val="009A353D"/>
    <w:rsid w:val="009B0B77"/>
    <w:rsid w:val="009B511E"/>
    <w:rsid w:val="00A44E3D"/>
    <w:rsid w:val="00A72D2E"/>
    <w:rsid w:val="00A74447"/>
    <w:rsid w:val="00A74CE5"/>
    <w:rsid w:val="00A911E7"/>
    <w:rsid w:val="00A939D9"/>
    <w:rsid w:val="00B07D9E"/>
    <w:rsid w:val="00B20712"/>
    <w:rsid w:val="00B43238"/>
    <w:rsid w:val="00B45DD3"/>
    <w:rsid w:val="00B52632"/>
    <w:rsid w:val="00B727A9"/>
    <w:rsid w:val="00B75216"/>
    <w:rsid w:val="00B91D52"/>
    <w:rsid w:val="00B9490F"/>
    <w:rsid w:val="00BA1ACD"/>
    <w:rsid w:val="00BD09F8"/>
    <w:rsid w:val="00CA7176"/>
    <w:rsid w:val="00CB3D48"/>
    <w:rsid w:val="00CB4665"/>
    <w:rsid w:val="00CC75B0"/>
    <w:rsid w:val="00CD2773"/>
    <w:rsid w:val="00CE143B"/>
    <w:rsid w:val="00D0024A"/>
    <w:rsid w:val="00D27003"/>
    <w:rsid w:val="00DB4A9B"/>
    <w:rsid w:val="00E167C7"/>
    <w:rsid w:val="00E2482E"/>
    <w:rsid w:val="00E73D47"/>
    <w:rsid w:val="00EC47F6"/>
    <w:rsid w:val="00EE156D"/>
    <w:rsid w:val="00EE65B8"/>
    <w:rsid w:val="00F149E2"/>
    <w:rsid w:val="00F66032"/>
    <w:rsid w:val="00F87C1E"/>
    <w:rsid w:val="00F958C2"/>
    <w:rsid w:val="065106D6"/>
    <w:rsid w:val="07CB3892"/>
    <w:rsid w:val="0FEF1A4A"/>
    <w:rsid w:val="19A135BD"/>
    <w:rsid w:val="1F0C5C90"/>
    <w:rsid w:val="275C45A6"/>
    <w:rsid w:val="36801CC7"/>
    <w:rsid w:val="39763BF8"/>
    <w:rsid w:val="3BEA070C"/>
    <w:rsid w:val="3C6E18A9"/>
    <w:rsid w:val="3F3D68C6"/>
    <w:rsid w:val="4F327A01"/>
    <w:rsid w:val="51FB2EA3"/>
    <w:rsid w:val="5B0E1549"/>
    <w:rsid w:val="5D513756"/>
    <w:rsid w:val="6244343C"/>
    <w:rsid w:val="64850E40"/>
    <w:rsid w:val="6CBD1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customStyle="1" w:styleId="2">
    <w:name w:val="_Style 1"/>
    <w:qFormat/>
    <w:uiPriority w:val="99"/>
    <w:pPr>
      <w:widowControl w:val="0"/>
      <w:jc w:val="both"/>
    </w:pPr>
    <w:rPr>
      <w:rFonts w:ascii="宋体" w:hAnsi="Times New Roman" w:eastAsia="宋体" w:cs="Times New Roman"/>
      <w:kern w:val="2"/>
      <w:sz w:val="32"/>
      <w:szCs w:val="22"/>
      <w:lang w:val="en-US" w:eastAsia="zh-CN" w:bidi="ar-SA"/>
    </w:rPr>
  </w:style>
  <w:style w:type="paragraph" w:styleId="3">
    <w:name w:val="Balloon Text"/>
    <w:basedOn w:val="1"/>
    <w:link w:val="16"/>
    <w:unhideWhenUsed/>
    <w:qFormat/>
    <w:uiPriority w:val="99"/>
    <w:rPr>
      <w:sz w:val="18"/>
      <w:szCs w:val="18"/>
    </w:rPr>
  </w:style>
  <w:style w:type="paragraph" w:styleId="4">
    <w:name w:val="footer"/>
    <w:basedOn w:val="1"/>
    <w:link w:val="15"/>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6">
    <w:name w:val="toc 1"/>
    <w:basedOn w:val="1"/>
    <w:next w:val="1"/>
    <w:qFormat/>
    <w:uiPriority w:val="39"/>
    <w:rPr>
      <w:rFonts w:ascii="Times New Roman" w:hAnsi="Times New Roman" w:eastAsia="宋体" w:cs="Times New Roman"/>
      <w:szCs w:val="24"/>
    </w:rPr>
  </w:style>
  <w:style w:type="paragraph" w:styleId="7">
    <w:name w:val="footnote text"/>
    <w:basedOn w:val="1"/>
    <w:link w:val="18"/>
    <w:unhideWhenUsed/>
    <w:qFormat/>
    <w:uiPriority w:val="99"/>
    <w:pPr>
      <w:snapToGrid w:val="0"/>
      <w:jc w:val="left"/>
    </w:pPr>
    <w:rPr>
      <w:rFonts w:ascii="Calibri" w:hAnsi="Calibri" w:eastAsia="宋体" w:cs="Times New Roman"/>
      <w:sz w:val="18"/>
      <w:szCs w:val="18"/>
    </w:rPr>
  </w:style>
  <w:style w:type="paragraph" w:styleId="8">
    <w:name w:val="toc 2"/>
    <w:basedOn w:val="1"/>
    <w:next w:val="1"/>
    <w:qFormat/>
    <w:uiPriority w:val="39"/>
    <w:pPr>
      <w:ind w:left="420" w:leftChars="200"/>
    </w:pPr>
    <w:rPr>
      <w:rFonts w:ascii="Times New Roman" w:hAnsi="Times New Roman" w:eastAsia="宋体" w:cs="Times New Roman"/>
      <w:szCs w:val="24"/>
    </w:rPr>
  </w:style>
  <w:style w:type="character" w:styleId="10">
    <w:name w:val="page number"/>
    <w:unhideWhenUsed/>
    <w:qFormat/>
    <w:uiPriority w:val="99"/>
  </w:style>
  <w:style w:type="character" w:styleId="11">
    <w:name w:val="Hyperlink"/>
    <w:unhideWhenUsed/>
    <w:qFormat/>
    <w:uiPriority w:val="99"/>
    <w:rPr>
      <w:color w:val="0000FF"/>
      <w:u w:val="single"/>
    </w:rPr>
  </w:style>
  <w:style w:type="character" w:styleId="12">
    <w:name w:val="footnote reference"/>
    <w:unhideWhenUsed/>
    <w:qFormat/>
    <w:uiPriority w:val="99"/>
    <w:rPr>
      <w:vertAlign w:val="superscript"/>
    </w:rPr>
  </w:style>
  <w:style w:type="character" w:customStyle="1" w:styleId="14">
    <w:name w:val="页眉 Char"/>
    <w:basedOn w:val="9"/>
    <w:link w:val="5"/>
    <w:uiPriority w:val="99"/>
    <w:rPr>
      <w:rFonts w:ascii="Times New Roman" w:hAnsi="Times New Roman" w:eastAsia="宋体" w:cs="Times New Roman"/>
      <w:sz w:val="18"/>
      <w:szCs w:val="18"/>
    </w:rPr>
  </w:style>
  <w:style w:type="character" w:customStyle="1" w:styleId="15">
    <w:name w:val="页脚 Char"/>
    <w:basedOn w:val="9"/>
    <w:link w:val="4"/>
    <w:uiPriority w:val="99"/>
    <w:rPr>
      <w:rFonts w:ascii="Times New Roman" w:hAnsi="Times New Roman" w:eastAsia="宋体" w:cs="Times New Roman"/>
      <w:sz w:val="18"/>
      <w:szCs w:val="18"/>
    </w:rPr>
  </w:style>
  <w:style w:type="character" w:customStyle="1" w:styleId="16">
    <w:name w:val="批注框文本 Char"/>
    <w:basedOn w:val="9"/>
    <w:link w:val="3"/>
    <w:semiHidden/>
    <w:qFormat/>
    <w:uiPriority w:val="99"/>
    <w:rPr>
      <w:sz w:val="18"/>
      <w:szCs w:val="18"/>
    </w:rPr>
  </w:style>
  <w:style w:type="paragraph" w:customStyle="1" w:styleId="17">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8">
    <w:name w:val="脚注文本 Char"/>
    <w:basedOn w:val="9"/>
    <w:link w:val="7"/>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425098-CEB7-4813-B90D-AE258FE7494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44</Pages>
  <Words>3066</Words>
  <Characters>17480</Characters>
  <Lines>145</Lines>
  <Paragraphs>41</Paragraphs>
  <TotalTime>17</TotalTime>
  <ScaleCrop>false</ScaleCrop>
  <LinksUpToDate>false</LinksUpToDate>
  <CharactersWithSpaces>20505</CharactersWithSpaces>
  <Application>WPS Office_11.1.0.8213_F1E327BC-269C-435d-A152-05C5408002CA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2019-01-15T00:52:00Z</dcterms:created>
  <dc:creator>guest</dc:creator>
  <cp:lastModifiedBy>Administrator</cp:lastModifiedBy>
  <cp:lastPrinted>2017-11-09T01:12:00Z</cp:lastPrinted>
  <dcterms:modified xsi:type="dcterms:W3CDTF">2019-03-04T02:18:12Z</dcterms:modified>
  <dc:title>河北省财政厅2019年部门预算信息公开情况说明</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