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asciiTheme="minorEastAsia" w:hAnsiTheme="minorEastAsia" w:eastAsiaTheme="minorEastAsia"/>
          <w:b/>
          <w:sz w:val="72"/>
          <w:szCs w:val="72"/>
        </w:rPr>
      </w:pPr>
    </w:p>
    <w:p>
      <w:pPr>
        <w:widowControl/>
        <w:jc w:val="both"/>
        <w:rPr>
          <w:rFonts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pPr>
      <w:r>
        <w:rPr>
          <w:rFonts w:hint="eastAsia"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t>201</w:t>
      </w:r>
      <w:r>
        <w:rPr>
          <w:rFonts w:hint="eastAsia" w:hAnsi="宋体" w:asciiTheme="minorEastAsia" w:eastAsiaTheme="minorEastAsia"/>
          <w:color w:val="002060"/>
          <w:sz w:val="84"/>
          <w:szCs w:val="84"/>
          <w:lang w:val="en-US" w:eastAsia="zh-CN"/>
          <w14:textOutline w14:w="5270" w14:cap="flat" w14:cmpd="sng" w14:algn="ctr">
            <w14:solidFill>
              <w14:srgbClr w14:val="7D7D7D">
                <w14:tint w14:val="100000"/>
                <w14:shade w14:val="100000"/>
                <w14:satMod w14:val="110000"/>
              </w14:srgbClr>
            </w14:solidFill>
            <w14:prstDash w14:val="solid"/>
            <w14:round/>
          </w14:textOutline>
        </w:rPr>
        <w:t>7</w:t>
      </w:r>
      <w:r>
        <w:rPr>
          <w:rFonts w:hint="eastAsia"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t>年度</w:t>
      </w:r>
      <w:r>
        <w:rPr>
          <w:rFonts w:hint="eastAsia" w:hAnsi="宋体" w:asciiTheme="minorEastAsia" w:eastAsiaTheme="minorEastAsia"/>
          <w:color w:val="002060"/>
          <w:sz w:val="84"/>
          <w:szCs w:val="84"/>
          <w:lang w:eastAsia="zh-CN"/>
          <w14:textOutline w14:w="5270" w14:cap="flat" w14:cmpd="sng" w14:algn="ctr">
            <w14:solidFill>
              <w14:srgbClr w14:val="7D7D7D">
                <w14:tint w14:val="100000"/>
                <w14:shade w14:val="100000"/>
                <w14:satMod w14:val="110000"/>
              </w14:srgbClr>
            </w14:solidFill>
            <w14:prstDash w14:val="solid"/>
            <w14:round/>
          </w14:textOutline>
        </w:rPr>
        <w:t>部门</w:t>
      </w:r>
      <w:r>
        <w:rPr>
          <w:rFonts w:hint="eastAsia"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t>决算公开</w:t>
      </w: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both"/>
        <w:rPr>
          <w:rFonts w:asciiTheme="minorEastAsia" w:hAnsiTheme="minorEastAsia" w:eastAsiaTheme="minorEastAsia"/>
          <w:b/>
          <w:sz w:val="72"/>
          <w:szCs w:val="72"/>
        </w:rPr>
      </w:pPr>
    </w:p>
    <w:p>
      <w:pPr>
        <w:widowControl/>
        <w:jc w:val="center"/>
        <w:rPr>
          <w:rFonts w:hint="eastAsia" w:ascii="宋体" w:hAnsi="宋体"/>
          <w:b/>
          <w:sz w:val="44"/>
          <w:szCs w:val="44"/>
          <w:lang w:val="en-US" w:eastAsia="zh-CN"/>
        </w:rPr>
      </w:pPr>
      <w:r>
        <w:rPr>
          <w:rFonts w:hint="eastAsia" w:ascii="宋体" w:hAnsi="宋体"/>
          <w:b/>
          <w:sz w:val="44"/>
          <w:szCs w:val="44"/>
          <w:lang w:val="en-US" w:eastAsia="zh-CN"/>
        </w:rPr>
        <w:t xml:space="preserve"> </w:t>
      </w:r>
    </w:p>
    <w:p>
      <w:pPr>
        <w:widowControl/>
        <w:jc w:val="center"/>
        <w:rPr>
          <w:rFonts w:hint="eastAsia" w:ascii="宋体" w:hAnsi="宋体"/>
          <w:b/>
          <w:sz w:val="44"/>
          <w:szCs w:val="44"/>
          <w:lang w:val="en-US" w:eastAsia="zh-CN"/>
        </w:rPr>
      </w:pPr>
    </w:p>
    <w:p>
      <w:pPr>
        <w:widowControl/>
        <w:jc w:val="center"/>
        <w:rPr>
          <w:rFonts w:hint="eastAsia" w:ascii="宋体" w:hAnsi="宋体"/>
          <w:b/>
          <w:sz w:val="44"/>
          <w:szCs w:val="44"/>
          <w:lang w:val="en-US" w:eastAsia="zh-CN"/>
        </w:rPr>
      </w:pPr>
    </w:p>
    <w:p>
      <w:pPr>
        <w:widowControl/>
        <w:jc w:val="center"/>
        <w:rPr>
          <w:rFonts w:hint="eastAsia" w:ascii="宋体" w:hAnsi="宋体"/>
          <w:b/>
          <w:sz w:val="44"/>
          <w:szCs w:val="44"/>
          <w:lang w:val="en-US" w:eastAsia="zh-CN"/>
        </w:rPr>
      </w:pPr>
      <w:r>
        <w:rPr>
          <w:rFonts w:hint="eastAsia" w:ascii="宋体" w:hAnsi="宋体"/>
          <w:b/>
          <w:sz w:val="44"/>
          <w:szCs w:val="44"/>
          <w:lang w:val="en-US" w:eastAsia="zh-CN"/>
        </w:rPr>
        <w:t>石家庄市鹿泉区液化气公司</w:t>
      </w:r>
    </w:p>
    <w:p>
      <w:pPr>
        <w:widowControl/>
        <w:jc w:val="center"/>
        <w:rPr>
          <w:rFonts w:hint="eastAsia" w:ascii="宋体" w:hAnsi="宋体"/>
          <w:b/>
          <w:sz w:val="44"/>
          <w:szCs w:val="44"/>
        </w:rPr>
      </w:pPr>
      <w:r>
        <w:rPr>
          <w:rFonts w:hint="eastAsia" w:ascii="宋体" w:hAnsi="宋体"/>
          <w:b/>
          <w:sz w:val="44"/>
          <w:szCs w:val="44"/>
          <w:lang w:val="en-US" w:eastAsia="zh-CN"/>
        </w:rPr>
        <w:t>石家庄市鹿泉区公用事业管理中心审核</w:t>
      </w:r>
    </w:p>
    <w:p>
      <w:pPr>
        <w:widowControl/>
        <w:jc w:val="center"/>
        <w:rPr>
          <w:rFonts w:ascii="宋体" w:hAnsi="宋体"/>
          <w:b/>
          <w:sz w:val="44"/>
          <w:szCs w:val="44"/>
        </w:rPr>
      </w:pPr>
      <w:r>
        <w:rPr>
          <w:rFonts w:hint="eastAsia" w:ascii="宋体" w:hAnsi="宋体"/>
          <w:b/>
          <w:sz w:val="44"/>
          <w:szCs w:val="44"/>
        </w:rPr>
        <w:t>2018年9月</w:t>
      </w:r>
      <w:r>
        <w:rPr>
          <w:rFonts w:hint="eastAsia" w:ascii="宋体" w:hAnsi="宋体"/>
          <w:b/>
          <w:sz w:val="44"/>
          <w:szCs w:val="44"/>
          <w:lang w:val="en-US" w:eastAsia="zh-CN"/>
        </w:rPr>
        <w:t>3</w:t>
      </w:r>
      <w:bookmarkStart w:id="1" w:name="_GoBack"/>
      <w:bookmarkEnd w:id="1"/>
      <w:r>
        <w:rPr>
          <w:rFonts w:hint="eastAsia" w:ascii="宋体" w:hAnsi="宋体"/>
          <w:b/>
          <w:sz w:val="44"/>
          <w:szCs w:val="44"/>
        </w:rPr>
        <w:t>日</w:t>
      </w:r>
    </w:p>
    <w:p>
      <w:pPr>
        <w:widowControl/>
        <w:spacing w:line="580" w:lineRule="exact"/>
        <w:ind w:firstLine="2640" w:firstLineChars="600"/>
        <w:jc w:val="both"/>
        <w:rPr>
          <w:rFonts w:ascii="黑体" w:eastAsia="黑体"/>
          <w:sz w:val="44"/>
          <w:szCs w:val="44"/>
        </w:rPr>
      </w:pPr>
      <w:r>
        <w:rPr>
          <w:rFonts w:hint="eastAsia" w:ascii="黑体" w:eastAsia="黑体"/>
          <w:sz w:val="44"/>
          <w:szCs w:val="44"/>
        </w:rPr>
        <w:t>决算公开目录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eastAsia="黑体"/>
          <w:sz w:val="32"/>
          <w:szCs w:val="32"/>
        </w:rPr>
        <w:t xml:space="preserve">第一部分   </w:t>
      </w:r>
      <w:r>
        <w:rPr>
          <w:rFonts w:hint="eastAsia" w:eastAsia="黑体"/>
          <w:sz w:val="32"/>
          <w:szCs w:val="32"/>
          <w:lang w:eastAsia="zh-CN"/>
        </w:rPr>
        <w:t>部门</w:t>
      </w:r>
      <w:r>
        <w:rPr>
          <w:rFonts w:eastAsia="黑体"/>
          <w:sz w:val="32"/>
          <w:szCs w:val="32"/>
        </w:rPr>
        <w:t>概况</w:t>
      </w:r>
    </w:p>
    <w:p>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pPr>
        <w:widowControl/>
        <w:spacing w:line="580" w:lineRule="exact"/>
        <w:ind w:firstLine="1273" w:firstLineChars="398"/>
        <w:rPr>
          <w:rFonts w:eastAsia="仿宋_GB2312"/>
          <w:sz w:val="32"/>
          <w:szCs w:val="32"/>
        </w:rPr>
      </w:pPr>
      <w:r>
        <w:rPr>
          <w:rFonts w:eastAsia="仿宋_GB2312"/>
          <w:sz w:val="32"/>
          <w:szCs w:val="32"/>
        </w:rPr>
        <w:t>二、部门决算单位构成</w:t>
      </w:r>
    </w:p>
    <w:p>
      <w:pPr>
        <w:widowControl/>
        <w:spacing w:line="580" w:lineRule="exact"/>
        <w:ind w:firstLine="640" w:firstLineChars="200"/>
        <w:rPr>
          <w:rFonts w:eastAsia="仿宋_GB2312"/>
          <w:sz w:val="20"/>
          <w:szCs w:val="32"/>
        </w:rPr>
      </w:pPr>
      <w:r>
        <w:rPr>
          <w:rFonts w:eastAsia="黑体"/>
          <w:sz w:val="32"/>
          <w:szCs w:val="32"/>
        </w:rPr>
        <w:t xml:space="preserve">第二部分   </w:t>
      </w:r>
      <w:r>
        <w:rPr>
          <w:rFonts w:hint="eastAsia" w:eastAsia="黑体"/>
          <w:sz w:val="32"/>
          <w:szCs w:val="32"/>
          <w:lang w:eastAsia="zh-CN"/>
        </w:rPr>
        <w:t>液化气公司</w:t>
      </w:r>
      <w:r>
        <w:rPr>
          <w:rFonts w:eastAsia="黑体"/>
          <w:sz w:val="32"/>
          <w:szCs w:val="32"/>
        </w:rPr>
        <w:t>2017年度决算报表</w:t>
      </w:r>
    </w:p>
    <w:p>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eastAsia="仿宋_GB2312"/>
          <w:sz w:val="32"/>
          <w:szCs w:val="32"/>
        </w:rPr>
        <w:t>二、收入决算表</w:t>
      </w:r>
    </w:p>
    <w:p>
      <w:pPr>
        <w:widowControl/>
        <w:spacing w:line="580" w:lineRule="exact"/>
        <w:ind w:left="640" w:firstLine="640" w:firstLineChars="200"/>
        <w:rPr>
          <w:rFonts w:eastAsia="仿宋_GB2312"/>
          <w:sz w:val="32"/>
          <w:szCs w:val="32"/>
        </w:rPr>
      </w:pPr>
      <w:r>
        <w:rPr>
          <w:rFonts w:eastAsia="仿宋_GB2312"/>
          <w:sz w:val="32"/>
          <w:szCs w:val="32"/>
        </w:rPr>
        <w:t>三、支出决算表</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eastAsia="仿宋_GB2312"/>
          <w:sz w:val="32"/>
          <w:szCs w:val="32"/>
        </w:rPr>
        <w:t>五、一般公共预算财政拨款收入支出决算表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六、一般公共预算财政拨款基本支出决算经济分类表</w:t>
      </w:r>
    </w:p>
    <w:p>
      <w:pPr>
        <w:widowControl/>
        <w:spacing w:line="580" w:lineRule="exact"/>
        <w:ind w:left="640" w:firstLine="640" w:firstLineChars="200"/>
        <w:rPr>
          <w:rFonts w:eastAsia="仿宋_GB2312"/>
          <w:sz w:val="32"/>
          <w:szCs w:val="32"/>
        </w:rPr>
      </w:pPr>
      <w:r>
        <w:rPr>
          <w:rFonts w:eastAsia="仿宋_GB2312"/>
          <w:sz w:val="32"/>
          <w:szCs w:val="32"/>
        </w:rPr>
        <w:t>七、政府性基金预算财政拨款收入支出决算表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八、国有资本经营预算财政拨款收入支出决算表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九、“三公”经费等相关信息统计表</w:t>
      </w:r>
    </w:p>
    <w:p>
      <w:pPr>
        <w:widowControl/>
        <w:spacing w:line="580" w:lineRule="exact"/>
        <w:ind w:left="640" w:firstLine="640" w:firstLineChars="200"/>
        <w:rPr>
          <w:rFonts w:eastAsia="仿宋_GB2312"/>
          <w:sz w:val="32"/>
          <w:szCs w:val="32"/>
        </w:rPr>
      </w:pPr>
      <w:r>
        <w:rPr>
          <w:rFonts w:eastAsia="仿宋_GB2312"/>
          <w:sz w:val="32"/>
          <w:szCs w:val="32"/>
        </w:rPr>
        <w:t>十、政府采购情况表</w:t>
      </w:r>
    </w:p>
    <w:p>
      <w:pPr>
        <w:widowControl/>
        <w:spacing w:line="580" w:lineRule="exact"/>
        <w:ind w:left="640" w:firstLine="640" w:firstLineChars="200"/>
        <w:rPr>
          <w:rFonts w:eastAsia="仿宋_GB2312"/>
          <w:sz w:val="32"/>
          <w:szCs w:val="32"/>
        </w:rPr>
      </w:pP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lang w:eastAsia="zh-CN"/>
        </w:rPr>
        <w:t>液化气公司</w:t>
      </w:r>
      <w:r>
        <w:rPr>
          <w:rFonts w:eastAsia="黑体"/>
          <w:sz w:val="32"/>
          <w:szCs w:val="32"/>
        </w:rPr>
        <w:t>2017年决算情况说明</w:t>
      </w:r>
    </w:p>
    <w:p>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五、“三公”经费支出决算情况说明</w:t>
      </w:r>
    </w:p>
    <w:p>
      <w:pPr>
        <w:widowControl/>
        <w:spacing w:line="580" w:lineRule="exact"/>
        <w:ind w:left="640" w:firstLine="640" w:firstLineChars="200"/>
        <w:rPr>
          <w:rFonts w:eastAsia="仿宋_GB2312"/>
          <w:sz w:val="32"/>
          <w:szCs w:val="32"/>
        </w:rPr>
      </w:pPr>
      <w:r>
        <w:rPr>
          <w:rFonts w:eastAsia="仿宋_GB2312"/>
          <w:sz w:val="32"/>
          <w:szCs w:val="32"/>
        </w:rPr>
        <w:t>六、预算绩效管理工作开展情况说明</w:t>
      </w:r>
    </w:p>
    <w:p>
      <w:pPr>
        <w:widowControl/>
        <w:spacing w:line="580" w:lineRule="exact"/>
        <w:ind w:left="640" w:firstLine="640" w:firstLineChars="200"/>
        <w:rPr>
          <w:rFonts w:eastAsia="仿宋_GB2312"/>
          <w:sz w:val="32"/>
          <w:szCs w:val="32"/>
        </w:rPr>
      </w:pPr>
      <w:r>
        <w:rPr>
          <w:rFonts w:eastAsia="仿宋_GB2312"/>
          <w:sz w:val="32"/>
          <w:szCs w:val="32"/>
        </w:rPr>
        <w:t>七、其他重要事项的说明</w:t>
      </w:r>
    </w:p>
    <w:p>
      <w:pPr>
        <w:widowControl/>
        <w:spacing w:line="580" w:lineRule="exact"/>
        <w:ind w:left="640" w:firstLine="1344" w:firstLineChars="420"/>
        <w:rPr>
          <w:rFonts w:eastAsia="仿宋_GB2312"/>
          <w:sz w:val="32"/>
          <w:szCs w:val="32"/>
        </w:rPr>
      </w:pPr>
      <w:r>
        <w:rPr>
          <w:rFonts w:eastAsia="仿宋_GB2312"/>
          <w:sz w:val="32"/>
          <w:szCs w:val="32"/>
        </w:rPr>
        <w:t>1.机关运行经费情况</w:t>
      </w:r>
    </w:p>
    <w:p>
      <w:pPr>
        <w:widowControl/>
        <w:spacing w:line="580" w:lineRule="exact"/>
        <w:ind w:left="640" w:firstLine="1344" w:firstLineChars="420"/>
        <w:rPr>
          <w:rFonts w:eastAsia="仿宋_GB2312"/>
          <w:sz w:val="32"/>
          <w:szCs w:val="32"/>
        </w:rPr>
      </w:pPr>
      <w:r>
        <w:rPr>
          <w:rFonts w:eastAsia="仿宋_GB2312"/>
          <w:sz w:val="32"/>
          <w:szCs w:val="32"/>
        </w:rPr>
        <w:t>2.政府采购情况</w:t>
      </w:r>
    </w:p>
    <w:p>
      <w:pPr>
        <w:widowControl/>
        <w:spacing w:line="580" w:lineRule="exact"/>
        <w:ind w:left="640" w:firstLine="1344" w:firstLineChars="420"/>
        <w:rPr>
          <w:rFonts w:eastAsia="仿宋_GB2312"/>
          <w:sz w:val="32"/>
          <w:szCs w:val="32"/>
        </w:rPr>
      </w:pPr>
      <w:r>
        <w:rPr>
          <w:rFonts w:eastAsia="仿宋_GB2312"/>
          <w:sz w:val="32"/>
          <w:szCs w:val="32"/>
        </w:rPr>
        <w:t>3.国有资产占用情况</w:t>
      </w:r>
    </w:p>
    <w:p>
      <w:pPr>
        <w:widowControl/>
        <w:spacing w:line="580" w:lineRule="exact"/>
        <w:ind w:left="640" w:firstLine="1344" w:firstLineChars="420"/>
        <w:rPr>
          <w:rFonts w:eastAsia="仿宋_GB2312"/>
          <w:sz w:val="32"/>
          <w:szCs w:val="32"/>
        </w:rPr>
      </w:pPr>
      <w:r>
        <w:rPr>
          <w:rFonts w:eastAsia="仿宋_GB2312"/>
          <w:sz w:val="32"/>
          <w:szCs w:val="32"/>
        </w:rPr>
        <w:t>4.其他需要说明的情况</w:t>
      </w:r>
    </w:p>
    <w:p>
      <w:pPr>
        <w:widowControl/>
        <w:spacing w:line="580" w:lineRule="exact"/>
        <w:ind w:firstLine="640" w:firstLineChars="200"/>
        <w:rPr>
          <w:rFonts w:eastAsia="黑体"/>
          <w:sz w:val="32"/>
          <w:szCs w:val="32"/>
        </w:rPr>
      </w:pPr>
      <w:r>
        <w:rPr>
          <w:rFonts w:eastAsia="黑体"/>
          <w:sz w:val="32"/>
          <w:szCs w:val="32"/>
        </w:rPr>
        <w:t>第四部分  名词解释</w:t>
      </w:r>
    </w:p>
    <w:p/>
    <w:p/>
    <w:p>
      <w:pPr>
        <w:widowControl/>
        <w:spacing w:line="580" w:lineRule="exact"/>
        <w:jc w:val="center"/>
        <w:rPr>
          <w:rFonts w:eastAsia="方正小标宋_GBK"/>
          <w:sz w:val="44"/>
          <w:szCs w:val="44"/>
        </w:rPr>
      </w:pPr>
    </w:p>
    <w:p>
      <w:pPr>
        <w:widowControl/>
        <w:spacing w:line="580" w:lineRule="exact"/>
        <w:jc w:val="center"/>
        <w:rPr>
          <w:rFonts w:hint="eastAsia" w:ascii="黑体" w:eastAsia="黑体"/>
          <w:sz w:val="44"/>
          <w:szCs w:val="44"/>
        </w:rPr>
      </w:pPr>
    </w:p>
    <w:p>
      <w:pPr>
        <w:widowControl/>
        <w:spacing w:line="580" w:lineRule="exact"/>
        <w:ind w:firstLine="2560" w:firstLineChars="800"/>
        <w:rPr>
          <w:rFonts w:eastAsia="仿宋_GB2312"/>
          <w:sz w:val="24"/>
          <w:szCs w:val="32"/>
        </w:rPr>
      </w:pPr>
      <w:r>
        <w:rPr>
          <w:rFonts w:eastAsia="黑体"/>
          <w:sz w:val="32"/>
          <w:szCs w:val="32"/>
        </w:rPr>
        <w:t xml:space="preserve">第一部分  </w:t>
      </w:r>
      <w:r>
        <w:rPr>
          <w:rFonts w:hint="eastAsia" w:eastAsia="黑体"/>
          <w:sz w:val="32"/>
          <w:szCs w:val="32"/>
          <w:lang w:eastAsia="zh-CN"/>
        </w:rPr>
        <w:t>液化气公司</w:t>
      </w:r>
      <w:r>
        <w:rPr>
          <w:rFonts w:eastAsia="黑体"/>
          <w:sz w:val="32"/>
          <w:szCs w:val="32"/>
        </w:rPr>
        <w:t>概况</w:t>
      </w:r>
      <w:r>
        <w:rPr>
          <w:rFonts w:hint="eastAsia" w:eastAsia="仿宋_GB2312"/>
          <w:sz w:val="24"/>
          <w:szCs w:val="32"/>
        </w:rPr>
        <w:t xml:space="preserve">   </w:t>
      </w:r>
    </w:p>
    <w:p>
      <w:pPr>
        <w:widowControl/>
        <w:spacing w:line="580" w:lineRule="exact"/>
        <w:ind w:firstLine="321" w:firstLineChars="100"/>
        <w:rPr>
          <w:rFonts w:hint="eastAsia" w:eastAsia="仿宋_GB2312"/>
          <w:b/>
          <w:bCs/>
          <w:sz w:val="32"/>
          <w:szCs w:val="32"/>
        </w:rPr>
      </w:pPr>
      <w:r>
        <w:rPr>
          <w:rFonts w:eastAsia="仿宋_GB2312"/>
          <w:b/>
          <w:bCs/>
          <w:sz w:val="32"/>
          <w:szCs w:val="32"/>
        </w:rPr>
        <w:t>一、</w:t>
      </w:r>
      <w:r>
        <w:rPr>
          <w:rFonts w:hint="eastAsia" w:eastAsia="仿宋_GB2312"/>
          <w:b/>
          <w:bCs/>
          <w:sz w:val="32"/>
          <w:szCs w:val="32"/>
          <w:lang w:eastAsia="zh-CN"/>
        </w:rPr>
        <w:t>液化气公司</w:t>
      </w:r>
      <w:r>
        <w:rPr>
          <w:rFonts w:eastAsia="仿宋_GB2312"/>
          <w:b/>
          <w:bCs/>
          <w:sz w:val="32"/>
          <w:szCs w:val="32"/>
        </w:rPr>
        <w:t>部门</w:t>
      </w:r>
      <w:r>
        <w:rPr>
          <w:rFonts w:hint="eastAsia" w:eastAsia="仿宋_GB2312"/>
          <w:b/>
          <w:bCs/>
          <w:sz w:val="32"/>
          <w:szCs w:val="32"/>
        </w:rPr>
        <w:t>职责</w:t>
      </w:r>
    </w:p>
    <w:p>
      <w:pPr>
        <w:widowControl/>
        <w:spacing w:line="580" w:lineRule="exact"/>
        <w:ind w:firstLine="640" w:firstLineChars="200"/>
        <w:rPr>
          <w:rFonts w:hint="eastAsia" w:eastAsia="仿宋_GB2312"/>
          <w:sz w:val="32"/>
          <w:szCs w:val="32"/>
        </w:rPr>
      </w:pPr>
      <w:r>
        <w:rPr>
          <w:rFonts w:hint="eastAsia" w:eastAsia="仿宋_GB2312"/>
          <w:sz w:val="32"/>
          <w:szCs w:val="32"/>
        </w:rPr>
        <w:t>主要职责为：解决我区</w:t>
      </w:r>
      <w:r>
        <w:rPr>
          <w:rFonts w:hint="eastAsia" w:eastAsia="仿宋_GB2312"/>
          <w:sz w:val="32"/>
          <w:szCs w:val="32"/>
          <w:lang w:eastAsia="zh-CN"/>
        </w:rPr>
        <w:t>干部职工居民</w:t>
      </w:r>
      <w:r>
        <w:rPr>
          <w:rFonts w:hint="eastAsia" w:eastAsia="仿宋_GB2312"/>
          <w:sz w:val="32"/>
          <w:szCs w:val="32"/>
        </w:rPr>
        <w:t>生活用气</w:t>
      </w:r>
      <w:r>
        <w:rPr>
          <w:rFonts w:hint="eastAsia" w:eastAsia="仿宋_GB2312"/>
          <w:sz w:val="32"/>
          <w:szCs w:val="32"/>
          <w:lang w:eastAsia="zh-CN"/>
        </w:rPr>
        <w:t>；做好对液化气专用设备的检验，保证安全生产。</w:t>
      </w:r>
    </w:p>
    <w:p>
      <w:pPr>
        <w:widowControl/>
        <w:numPr>
          <w:ilvl w:val="0"/>
          <w:numId w:val="0"/>
        </w:numPr>
        <w:spacing w:line="580" w:lineRule="exact"/>
        <w:ind w:firstLine="321" w:firstLineChars="100"/>
        <w:rPr>
          <w:rFonts w:eastAsia="仿宋_GB2312"/>
          <w:b/>
          <w:bCs/>
          <w:sz w:val="32"/>
          <w:szCs w:val="32"/>
        </w:rPr>
      </w:pPr>
      <w:r>
        <w:rPr>
          <w:rFonts w:hint="eastAsia" w:eastAsia="仿宋_GB2312"/>
          <w:b/>
          <w:bCs/>
          <w:sz w:val="32"/>
          <w:szCs w:val="32"/>
          <w:lang w:eastAsia="zh-CN"/>
        </w:rPr>
        <w:t>二、液化气公司</w:t>
      </w:r>
      <w:r>
        <w:rPr>
          <w:rFonts w:eastAsia="仿宋_GB2312"/>
          <w:b/>
          <w:bCs/>
          <w:sz w:val="32"/>
          <w:szCs w:val="32"/>
        </w:rPr>
        <w:t>决算单位构成</w:t>
      </w:r>
    </w:p>
    <w:p>
      <w:pPr>
        <w:autoSpaceDE w:val="0"/>
        <w:autoSpaceDN w:val="0"/>
        <w:adjustRightInd w:val="0"/>
        <w:spacing w:after="0" w:line="560" w:lineRule="exact"/>
        <w:ind w:firstLine="640" w:firstLineChars="200"/>
        <w:jc w:val="left"/>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201</w:t>
      </w:r>
      <w:r>
        <w:rPr>
          <w:rFonts w:hint="eastAsia" w:ascii="仿宋_GB2312" w:eastAsia="仿宋_GB2312" w:cs="ArialUnicodeMS" w:hAnsiTheme="minorHAnsi"/>
          <w:kern w:val="0"/>
          <w:sz w:val="32"/>
          <w:szCs w:val="32"/>
          <w:lang w:val="en-US" w:eastAsia="zh-CN"/>
        </w:rPr>
        <w:t>7</w:t>
      </w:r>
      <w:r>
        <w:rPr>
          <w:rFonts w:hint="eastAsia" w:ascii="仿宋_GB2312" w:eastAsia="仿宋_GB2312" w:cs="ArialUnicodeMS" w:hAnsiTheme="minorHAnsi"/>
          <w:kern w:val="0"/>
          <w:sz w:val="32"/>
          <w:szCs w:val="32"/>
        </w:rPr>
        <w:t>年度，纳入本</w:t>
      </w:r>
      <w:r>
        <w:rPr>
          <w:rFonts w:hint="eastAsia" w:ascii="仿宋_GB2312" w:eastAsia="仿宋_GB2312" w:cs="ArialUnicodeMS" w:hAnsiTheme="minorHAnsi"/>
          <w:kern w:val="0"/>
          <w:sz w:val="32"/>
          <w:szCs w:val="32"/>
          <w:lang w:eastAsia="zh-CN"/>
        </w:rPr>
        <w:t>单位</w:t>
      </w:r>
      <w:r>
        <w:rPr>
          <w:rFonts w:hint="eastAsia" w:ascii="仿宋_GB2312" w:eastAsia="仿宋_GB2312" w:cs="ArialUnicodeMS" w:hAnsiTheme="minorHAnsi"/>
          <w:kern w:val="0"/>
          <w:sz w:val="32"/>
          <w:szCs w:val="32"/>
        </w:rPr>
        <w:t>决算汇编范围的独立核算单位</w:t>
      </w:r>
    </w:p>
    <w:p>
      <w:pPr>
        <w:autoSpaceDE w:val="0"/>
        <w:autoSpaceDN w:val="0"/>
        <w:adjustRightInd w:val="0"/>
        <w:spacing w:after="0" w:line="560" w:lineRule="exact"/>
        <w:jc w:val="left"/>
        <w:rPr>
          <w:rFonts w:hint="eastAsia" w:eastAsia="仿宋_GB2312"/>
          <w:sz w:val="32"/>
          <w:szCs w:val="32"/>
          <w:lang w:val="en-US" w:eastAsia="zh-CN"/>
        </w:rPr>
      </w:pPr>
      <w:r>
        <w:rPr>
          <w:rFonts w:hint="eastAsia" w:ascii="仿宋_GB2312" w:eastAsia="仿宋_GB2312" w:cs="ArialUnicodeMS" w:hAnsiTheme="minorHAnsi"/>
          <w:kern w:val="0"/>
          <w:sz w:val="32"/>
          <w:szCs w:val="32"/>
        </w:rPr>
        <w:t xml:space="preserve">共 </w:t>
      </w:r>
      <w:r>
        <w:rPr>
          <w:rFonts w:hint="eastAsia" w:ascii="仿宋_GB2312" w:eastAsia="仿宋_GB2312" w:cs="ArialUnicodeMS" w:hAnsiTheme="minorHAnsi"/>
          <w:kern w:val="0"/>
          <w:sz w:val="32"/>
          <w:szCs w:val="32"/>
          <w:lang w:val="en-US" w:eastAsia="zh-CN"/>
        </w:rPr>
        <w:t>1</w:t>
      </w:r>
      <w:r>
        <w:rPr>
          <w:rFonts w:hint="eastAsia" w:ascii="仿宋_GB2312" w:eastAsia="仿宋_GB2312" w:cs="ArialUnicodeMS" w:hAnsiTheme="minorHAnsi"/>
          <w:kern w:val="0"/>
          <w:sz w:val="32"/>
          <w:szCs w:val="32"/>
        </w:rPr>
        <w:t>个，是</w:t>
      </w:r>
      <w:r>
        <w:rPr>
          <w:rFonts w:hint="eastAsia" w:ascii="仿宋_GB2312" w:eastAsia="仿宋_GB2312" w:cs="ArialUnicodeMS" w:hAnsiTheme="minorHAnsi"/>
          <w:kern w:val="0"/>
          <w:sz w:val="32"/>
          <w:szCs w:val="32"/>
          <w:lang w:eastAsia="zh-CN"/>
        </w:rPr>
        <w:t>石家庄市鹿泉区液化气公司</w:t>
      </w:r>
      <w:r>
        <w:rPr>
          <w:rFonts w:hint="eastAsia" w:ascii="仿宋_GB2312" w:eastAsia="仿宋_GB2312" w:cs="ArialUnicodeMS" w:hAnsiTheme="minorHAnsi"/>
          <w:kern w:val="0"/>
          <w:sz w:val="32"/>
          <w:szCs w:val="32"/>
        </w:rPr>
        <w:t>，单位基本性质为</w:t>
      </w:r>
      <w:r>
        <w:rPr>
          <w:rFonts w:hint="eastAsia" w:ascii="仿宋_GB2312" w:eastAsia="仿宋_GB2312" w:cs="ArialUnicodeMS" w:hAnsiTheme="minorHAnsi"/>
          <w:kern w:val="0"/>
          <w:sz w:val="32"/>
          <w:szCs w:val="32"/>
          <w:lang w:eastAsia="zh-CN"/>
        </w:rPr>
        <w:t>财政补助事业</w:t>
      </w:r>
      <w:r>
        <w:rPr>
          <w:rFonts w:hint="eastAsia" w:ascii="仿宋_GB2312" w:eastAsia="仿宋_GB2312" w:cs="ArialUnicodeMS" w:hAnsiTheme="minorHAnsi"/>
          <w:kern w:val="0"/>
          <w:sz w:val="32"/>
          <w:szCs w:val="32"/>
        </w:rPr>
        <w:t>单位，预算管理级次为</w:t>
      </w:r>
      <w:r>
        <w:rPr>
          <w:rFonts w:hint="eastAsia" w:ascii="仿宋_GB2312" w:eastAsia="仿宋_GB2312" w:cs="ArialUnicodeMS" w:hAnsiTheme="minorHAnsi"/>
          <w:kern w:val="0"/>
          <w:sz w:val="32"/>
          <w:szCs w:val="32"/>
          <w:lang w:eastAsia="zh-CN"/>
        </w:rPr>
        <w:t>二</w:t>
      </w:r>
      <w:r>
        <w:rPr>
          <w:rFonts w:hint="eastAsia" w:ascii="仿宋_GB2312" w:eastAsia="仿宋_GB2312" w:cs="ArialUnicodeMS" w:hAnsiTheme="minorHAnsi"/>
          <w:kern w:val="0"/>
          <w:sz w:val="32"/>
          <w:szCs w:val="32"/>
        </w:rPr>
        <w:t>级预算单位，执行</w:t>
      </w:r>
      <w:r>
        <w:rPr>
          <w:rFonts w:hint="eastAsia" w:ascii="仿宋_GB2312" w:eastAsia="仿宋_GB2312" w:cs="ArialUnicodeMS" w:hAnsiTheme="minorHAnsi"/>
          <w:kern w:val="0"/>
          <w:sz w:val="32"/>
          <w:szCs w:val="32"/>
          <w:lang w:eastAsia="zh-CN"/>
        </w:rPr>
        <w:t>事业单位</w:t>
      </w:r>
      <w:r>
        <w:rPr>
          <w:rFonts w:hint="eastAsia" w:ascii="仿宋_GB2312" w:eastAsia="仿宋_GB2312" w:cs="ArialUnicodeMS" w:hAnsiTheme="minorHAnsi"/>
          <w:kern w:val="0"/>
          <w:sz w:val="32"/>
          <w:szCs w:val="32"/>
        </w:rPr>
        <w:t>会计制度</w:t>
      </w:r>
      <w:r>
        <w:rPr>
          <w:rFonts w:hint="eastAsia" w:ascii="仿宋_GB2312" w:eastAsia="仿宋_GB2312" w:cs="ArialUnicodeMS" w:hAnsiTheme="minorHAnsi"/>
          <w:kern w:val="0"/>
          <w:sz w:val="32"/>
          <w:szCs w:val="32"/>
          <w:lang w:eastAsia="zh-CN"/>
        </w:rPr>
        <w:t>。</w:t>
      </w:r>
    </w:p>
    <w:p>
      <w:pPr>
        <w:widowControl/>
        <w:spacing w:line="580" w:lineRule="exact"/>
        <w:ind w:firstLine="640" w:firstLineChars="200"/>
        <w:rPr>
          <w:rFonts w:eastAsia="仿宋_GB2312"/>
          <w:sz w:val="20"/>
          <w:szCs w:val="32"/>
        </w:rPr>
      </w:pPr>
      <w:r>
        <w:rPr>
          <w:rFonts w:eastAsia="黑体"/>
          <w:sz w:val="32"/>
          <w:szCs w:val="32"/>
        </w:rPr>
        <w:t xml:space="preserve">第二部分   </w:t>
      </w:r>
      <w:r>
        <w:rPr>
          <w:rFonts w:hint="eastAsia" w:eastAsia="黑体"/>
          <w:sz w:val="32"/>
          <w:szCs w:val="32"/>
          <w:lang w:eastAsia="zh-CN"/>
        </w:rPr>
        <w:t>液化气公司</w:t>
      </w:r>
      <w:r>
        <w:rPr>
          <w:rFonts w:eastAsia="黑体"/>
          <w:sz w:val="32"/>
          <w:szCs w:val="32"/>
        </w:rPr>
        <w:t>2017年度部门决算报表</w:t>
      </w:r>
    </w:p>
    <w:p>
      <w:pPr>
        <w:widowControl/>
        <w:spacing w:line="580" w:lineRule="exact"/>
        <w:ind w:firstLine="1280" w:firstLineChars="400"/>
        <w:rPr>
          <w:rFonts w:hint="eastAsia" w:eastAsia="仿宋_GB2312"/>
          <w:sz w:val="32"/>
          <w:szCs w:val="32"/>
          <w:lang w:eastAsia="zh-CN"/>
        </w:rPr>
      </w:pPr>
      <w:r>
        <w:rPr>
          <w:rFonts w:hint="eastAsia" w:eastAsia="仿宋_GB2312"/>
          <w:color w:val="FF0000"/>
          <w:sz w:val="32"/>
          <w:szCs w:val="32"/>
          <w:lang w:eastAsia="zh-CN"/>
        </w:rPr>
        <w:t xml:space="preserve"> </w:t>
      </w:r>
      <w:bookmarkStart w:id="0" w:name="石柏公园决算公开表"/>
      <w:r>
        <w:rPr>
          <w:rFonts w:hint="eastAsia" w:eastAsia="仿宋_GB2312"/>
          <w:color w:val="FF0000"/>
          <w:sz w:val="32"/>
          <w:szCs w:val="32"/>
          <w:lang w:eastAsia="zh-CN"/>
        </w:rPr>
        <w:fldChar w:fldCharType="begin"/>
      </w:r>
      <w:r>
        <w:rPr>
          <w:rFonts w:hint="eastAsia" w:eastAsia="仿宋_GB2312"/>
          <w:color w:val="FF0000"/>
          <w:sz w:val="32"/>
          <w:szCs w:val="32"/>
          <w:lang w:eastAsia="zh-CN"/>
        </w:rPr>
        <w:instrText xml:space="preserve"> HYPERLINK "石家庄市鹿泉区石柏公园管理处.XLS" </w:instrText>
      </w:r>
      <w:r>
        <w:rPr>
          <w:rFonts w:hint="eastAsia" w:eastAsia="仿宋_GB2312"/>
          <w:color w:val="FF0000"/>
          <w:sz w:val="32"/>
          <w:szCs w:val="32"/>
          <w:lang w:eastAsia="zh-CN"/>
        </w:rPr>
        <w:fldChar w:fldCharType="separate"/>
      </w:r>
      <w:r>
        <w:rPr>
          <w:rFonts w:hint="eastAsia" w:eastAsia="仿宋_GB2312"/>
          <w:color w:val="FF0000"/>
          <w:sz w:val="32"/>
          <w:szCs w:val="32"/>
          <w:lang w:eastAsia="zh-CN"/>
        </w:rPr>
        <w:t>见附件:液化气公司决算公开表</w:t>
      </w:r>
      <w:bookmarkEnd w:id="0"/>
      <w:r>
        <w:rPr>
          <w:rFonts w:hint="eastAsia" w:eastAsia="仿宋_GB2312"/>
          <w:color w:val="FF0000"/>
          <w:sz w:val="32"/>
          <w:szCs w:val="32"/>
          <w:lang w:eastAsia="zh-CN"/>
        </w:rPr>
        <w:fldChar w:fldCharType="end"/>
      </w: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lang w:eastAsia="zh-CN"/>
        </w:rPr>
        <w:t>液化气公司</w:t>
      </w:r>
      <w:r>
        <w:rPr>
          <w:rFonts w:eastAsia="黑体"/>
          <w:sz w:val="32"/>
          <w:szCs w:val="32"/>
        </w:rPr>
        <w:t>2017年部门决算情况说明</w:t>
      </w:r>
    </w:p>
    <w:p>
      <w:pPr>
        <w:widowControl/>
        <w:tabs>
          <w:tab w:val="left" w:pos="923"/>
        </w:tabs>
        <w:spacing w:line="580" w:lineRule="exact"/>
        <w:ind w:firstLine="643" w:firstLineChars="200"/>
        <w:jc w:val="both"/>
        <w:rPr>
          <w:rFonts w:eastAsia="仿宋_GB2312"/>
          <w:b/>
          <w:bCs/>
          <w:sz w:val="32"/>
          <w:szCs w:val="32"/>
        </w:rPr>
      </w:pPr>
      <w:r>
        <w:rPr>
          <w:rFonts w:eastAsia="仿宋_GB2312"/>
          <w:b/>
          <w:bCs/>
          <w:sz w:val="32"/>
          <w:szCs w:val="32"/>
        </w:rPr>
        <w:t>一、收入支出决算总体情况说明</w:t>
      </w:r>
    </w:p>
    <w:p>
      <w:pPr>
        <w:widowControl/>
        <w:spacing w:line="580" w:lineRule="exact"/>
        <w:ind w:left="640" w:firstLine="640" w:firstLineChars="200"/>
        <w:rPr>
          <w:rFonts w:eastAsia="仿宋_GB2312"/>
          <w:sz w:val="32"/>
          <w:szCs w:val="32"/>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年度年初</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结转和结余，本年收入</w:t>
      </w:r>
      <w:r>
        <w:rPr>
          <w:rFonts w:hint="eastAsia" w:ascii="仿宋_GB2312" w:eastAsia="仿宋_GB2312" w:cs="DengXian-Regular"/>
          <w:sz w:val="32"/>
          <w:szCs w:val="32"/>
          <w:lang w:val="en-US" w:eastAsia="zh-CN"/>
        </w:rPr>
        <w:t>560.67</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560.67</w:t>
      </w:r>
      <w:r>
        <w:rPr>
          <w:rFonts w:hint="eastAsia" w:ascii="仿宋_GB2312" w:eastAsia="仿宋_GB2312" w:cs="DengXian-Regular"/>
          <w:sz w:val="32"/>
          <w:szCs w:val="32"/>
        </w:rPr>
        <w:t>万元、年末</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结转和结余。与201</w:t>
      </w:r>
      <w:r>
        <w:rPr>
          <w:rFonts w:hint="eastAsia" w:ascii="仿宋_GB2312" w:eastAsia="仿宋_GB2312" w:cs="DengXian-Regular"/>
          <w:sz w:val="32"/>
          <w:szCs w:val="32"/>
          <w:lang w:val="en-US" w:eastAsia="zh-CN"/>
        </w:rPr>
        <w:t>6</w:t>
      </w:r>
      <w:r>
        <w:rPr>
          <w:rFonts w:hint="eastAsia" w:ascii="仿宋_GB2312" w:eastAsia="仿宋_GB2312" w:cs="DengXian-Regular"/>
          <w:sz w:val="32"/>
          <w:szCs w:val="32"/>
        </w:rPr>
        <w:t>年度决算相比，本年收入减少</w:t>
      </w:r>
      <w:r>
        <w:rPr>
          <w:rFonts w:hint="eastAsia" w:ascii="仿宋_GB2312" w:eastAsia="仿宋_GB2312" w:cs="DengXian-Regular"/>
          <w:sz w:val="32"/>
          <w:szCs w:val="32"/>
          <w:lang w:val="en-US" w:eastAsia="zh-CN"/>
        </w:rPr>
        <w:t>22.48</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3.85</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人员经费的减少</w:t>
      </w:r>
      <w:r>
        <w:rPr>
          <w:rFonts w:hint="eastAsia" w:ascii="仿宋_GB2312" w:eastAsia="仿宋_GB2312" w:cs="DengXian-Regular"/>
          <w:sz w:val="32"/>
          <w:szCs w:val="32"/>
        </w:rPr>
        <w:t>；本年支出减少</w:t>
      </w:r>
      <w:r>
        <w:rPr>
          <w:rFonts w:hint="eastAsia" w:ascii="仿宋_GB2312" w:eastAsia="仿宋_GB2312" w:cs="DengXian-Regular"/>
          <w:sz w:val="32"/>
          <w:szCs w:val="32"/>
          <w:lang w:val="en-US" w:eastAsia="zh-CN"/>
        </w:rPr>
        <w:t>22.48</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3.85</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人员经费的减少</w:t>
      </w:r>
      <w:r>
        <w:rPr>
          <w:rFonts w:hint="eastAsia" w:ascii="仿宋_GB2312" w:eastAsia="仿宋_GB2312" w:cs="DengXian-Regular"/>
          <w:sz w:val="32"/>
          <w:szCs w:val="32"/>
        </w:rPr>
        <w:t>。</w:t>
      </w:r>
    </w:p>
    <w:p>
      <w:pPr>
        <w:widowControl/>
        <w:spacing w:line="580" w:lineRule="exact"/>
        <w:ind w:firstLine="321" w:firstLineChars="100"/>
        <w:jc w:val="left"/>
        <w:rPr>
          <w:rFonts w:eastAsia="仿宋_GB2312"/>
          <w:b/>
          <w:bCs/>
          <w:sz w:val="32"/>
          <w:szCs w:val="32"/>
        </w:rPr>
      </w:pPr>
      <w:r>
        <w:rPr>
          <w:rFonts w:eastAsia="仿宋_GB2312"/>
          <w:b/>
          <w:bCs/>
          <w:sz w:val="32"/>
          <w:szCs w:val="32"/>
        </w:rPr>
        <w:t>二、收入决算情况说明</w:t>
      </w:r>
    </w:p>
    <w:p>
      <w:pPr>
        <w:adjustRightInd w:val="0"/>
        <w:snapToGrid w:val="0"/>
        <w:spacing w:line="56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年度本年收入合计</w:t>
      </w:r>
      <w:r>
        <w:rPr>
          <w:rFonts w:hint="eastAsia" w:ascii="仿宋_GB2312" w:eastAsia="仿宋_GB2312" w:cs="DengXian-Regular"/>
          <w:sz w:val="32"/>
          <w:szCs w:val="32"/>
          <w:lang w:val="en-US" w:eastAsia="zh-CN"/>
        </w:rPr>
        <w:t>560.67</w:t>
      </w:r>
      <w:r>
        <w:rPr>
          <w:rFonts w:hint="eastAsia" w:ascii="仿宋_GB2312" w:eastAsia="仿宋_GB2312" w:cs="DengXian-Regular"/>
          <w:sz w:val="32"/>
          <w:szCs w:val="32"/>
        </w:rPr>
        <w:t>万元，其中：财政拨款收入</w:t>
      </w:r>
      <w:r>
        <w:rPr>
          <w:rFonts w:hint="eastAsia" w:ascii="仿宋_GB2312" w:eastAsia="仿宋_GB2312" w:cs="DengXian-Regular"/>
          <w:sz w:val="32"/>
          <w:szCs w:val="32"/>
          <w:lang w:val="en-US" w:eastAsia="zh-CN"/>
        </w:rPr>
        <w:t>247.44</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44.13</w:t>
      </w:r>
      <w:r>
        <w:rPr>
          <w:rFonts w:hint="eastAsia" w:ascii="仿宋_GB2312" w:eastAsia="仿宋_GB2312" w:cs="DengXian-Regular"/>
          <w:sz w:val="32"/>
          <w:szCs w:val="32"/>
        </w:rPr>
        <w:t>%；</w:t>
      </w:r>
      <w:r>
        <w:rPr>
          <w:rFonts w:hint="eastAsia" w:ascii="仿宋_GB2312" w:eastAsia="仿宋_GB2312" w:cs="DengXian-Regular"/>
          <w:sz w:val="32"/>
          <w:szCs w:val="32"/>
          <w:lang w:eastAsia="zh-CN"/>
        </w:rPr>
        <w:t>无相关</w:t>
      </w:r>
      <w:r>
        <w:rPr>
          <w:rFonts w:hint="eastAsia" w:ascii="仿宋_GB2312" w:eastAsia="仿宋_GB2312" w:cs="DengXian-Regular"/>
          <w:sz w:val="32"/>
          <w:szCs w:val="32"/>
        </w:rPr>
        <w:t>事业收入；经营收入</w:t>
      </w:r>
      <w:r>
        <w:rPr>
          <w:rFonts w:hint="eastAsia" w:ascii="仿宋_GB2312" w:eastAsia="仿宋_GB2312" w:cs="DengXian-Regular"/>
          <w:sz w:val="32"/>
          <w:szCs w:val="32"/>
          <w:lang w:val="en-US" w:eastAsia="zh-CN"/>
        </w:rPr>
        <w:t>304</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54.22</w:t>
      </w:r>
      <w:r>
        <w:rPr>
          <w:rFonts w:hint="eastAsia" w:ascii="仿宋_GB2312" w:eastAsia="仿宋_GB2312" w:cs="DengXian-Regular"/>
          <w:sz w:val="32"/>
          <w:szCs w:val="32"/>
        </w:rPr>
        <w:t>%；其他收入</w:t>
      </w:r>
      <w:r>
        <w:rPr>
          <w:rFonts w:hint="eastAsia" w:ascii="仿宋_GB2312" w:eastAsia="仿宋_GB2312" w:cs="DengXian-Regular"/>
          <w:sz w:val="32"/>
          <w:szCs w:val="32"/>
          <w:lang w:val="en-US" w:eastAsia="zh-CN"/>
        </w:rPr>
        <w:t>9.22</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1.65</w:t>
      </w:r>
      <w:r>
        <w:rPr>
          <w:rFonts w:hint="eastAsia" w:ascii="仿宋_GB2312" w:eastAsia="仿宋_GB2312" w:cs="DengXian-Regular"/>
          <w:sz w:val="32"/>
          <w:szCs w:val="32"/>
        </w:rPr>
        <w:t>%。</w:t>
      </w:r>
    </w:p>
    <w:p>
      <w:pPr>
        <w:adjustRightInd w:val="0"/>
        <w:snapToGrid w:val="0"/>
        <w:spacing w:line="560" w:lineRule="exact"/>
        <w:rPr>
          <w:rFonts w:hint="eastAsia" w:ascii="仿宋_GB2312" w:eastAsia="仿宋_GB2312" w:cs="DengXian-Regular"/>
          <w:sz w:val="32"/>
          <w:szCs w:val="32"/>
        </w:rPr>
      </w:pPr>
    </w:p>
    <w:p>
      <w:pPr>
        <w:adjustRightInd w:val="0"/>
        <w:snapToGrid w:val="0"/>
        <w:spacing w:line="560" w:lineRule="exact"/>
        <w:ind w:firstLine="1920" w:firstLineChars="600"/>
        <w:rPr>
          <w:rFonts w:hint="eastAsia" w:ascii="仿宋_GB2312" w:eastAsia="仿宋_GB2312" w:cs="DengXian-Regular"/>
          <w:sz w:val="32"/>
          <w:szCs w:val="32"/>
        </w:rPr>
      </w:pPr>
    </w:p>
    <w:p>
      <w:pPr>
        <w:adjustRightInd w:val="0"/>
        <w:snapToGrid w:val="0"/>
        <w:spacing w:line="560" w:lineRule="exact"/>
        <w:ind w:firstLine="2560" w:firstLineChars="800"/>
        <w:rPr>
          <w:rFonts w:hint="eastAsia" w:ascii="仿宋_GB2312" w:eastAsia="仿宋_GB2312" w:cs="DengXian-Regular"/>
          <w:sz w:val="32"/>
          <w:szCs w:val="32"/>
        </w:rPr>
      </w:pPr>
      <w:r>
        <w:rPr>
          <w:rFonts w:hint="eastAsia" w:ascii="仿宋_GB2312" w:eastAsia="仿宋_GB2312" w:cs="DengXian-Regular"/>
          <w:sz w:val="32"/>
          <w:szCs w:val="32"/>
          <w:lang w:eastAsia="zh-CN"/>
        </w:rPr>
        <w:drawing>
          <wp:anchor distT="0" distB="0" distL="114300" distR="114300" simplePos="0" relativeHeight="251660288" behindDoc="0" locked="0" layoutInCell="1" allowOverlap="1">
            <wp:simplePos x="0" y="0"/>
            <wp:positionH relativeFrom="column">
              <wp:posOffset>432435</wp:posOffset>
            </wp:positionH>
            <wp:positionV relativeFrom="paragraph">
              <wp:posOffset>33020</wp:posOffset>
            </wp:positionV>
            <wp:extent cx="4985385" cy="2601595"/>
            <wp:effectExtent l="4445" t="4445" r="20320" b="2286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rPr>
          <w:rFonts w:hint="eastAsia" w:ascii="仿宋_GB2312" w:eastAsia="仿宋_GB2312" w:cs="DengXian-Regular"/>
          <w:sz w:val="32"/>
          <w:szCs w:val="32"/>
        </w:rPr>
        <w:t>图1：收入决算结构饼状图</w:t>
      </w:r>
    </w:p>
    <w:p>
      <w:pPr>
        <w:adjustRightInd w:val="0"/>
        <w:snapToGrid w:val="0"/>
        <w:spacing w:line="560" w:lineRule="exact"/>
        <w:ind w:firstLine="321" w:firstLineChars="100"/>
        <w:rPr>
          <w:rFonts w:eastAsia="仿宋_GB2312"/>
          <w:sz w:val="32"/>
          <w:szCs w:val="32"/>
        </w:rPr>
      </w:pPr>
      <w:r>
        <w:rPr>
          <w:rFonts w:hint="eastAsia" w:ascii="仿宋_GB2312" w:eastAsia="仿宋_GB2312" w:cs="DengXian-Regular"/>
          <w:b/>
          <w:bCs/>
          <w:sz w:val="32"/>
          <w:szCs w:val="32"/>
          <w:lang w:eastAsia="zh-CN"/>
        </w:rPr>
        <w:t>三、</w:t>
      </w:r>
      <w:r>
        <w:rPr>
          <w:rFonts w:eastAsia="仿宋_GB2312"/>
          <w:b/>
          <w:bCs/>
          <w:sz w:val="32"/>
          <w:szCs w:val="32"/>
        </w:rPr>
        <w:t>支出决算情况说明</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w:t>
      </w:r>
      <w:r>
        <w:rPr>
          <w:rFonts w:hint="eastAsia" w:ascii="仿宋_GB2312" w:eastAsia="仿宋_GB2312" w:cs="DengXian-Regular"/>
          <w:sz w:val="32"/>
          <w:szCs w:val="32"/>
          <w:lang w:val="en-US" w:eastAsia="zh-CN"/>
        </w:rPr>
        <w:t>17</w:t>
      </w:r>
      <w:r>
        <w:rPr>
          <w:rFonts w:hint="eastAsia" w:ascii="仿宋_GB2312" w:eastAsia="仿宋_GB2312" w:cs="DengXian-Regular"/>
          <w:sz w:val="32"/>
          <w:szCs w:val="32"/>
        </w:rPr>
        <w:t>年度本年支出合计</w:t>
      </w:r>
      <w:r>
        <w:rPr>
          <w:rFonts w:hint="eastAsia" w:ascii="仿宋_GB2312" w:eastAsia="仿宋_GB2312" w:cs="DengXian-Regular"/>
          <w:sz w:val="32"/>
          <w:szCs w:val="32"/>
          <w:lang w:val="en-US" w:eastAsia="zh-CN"/>
        </w:rPr>
        <w:t>560.67</w:t>
      </w:r>
      <w:r>
        <w:rPr>
          <w:rFonts w:hint="eastAsia" w:ascii="仿宋_GB2312" w:eastAsia="仿宋_GB2312" w:cs="DengXian-Regular"/>
          <w:sz w:val="32"/>
          <w:szCs w:val="32"/>
        </w:rPr>
        <w:t>万元，其中：基本支出</w:t>
      </w:r>
      <w:r>
        <w:rPr>
          <w:rFonts w:hint="eastAsia" w:ascii="仿宋_GB2312" w:eastAsia="仿宋_GB2312" w:cs="DengXian-Regular"/>
          <w:sz w:val="32"/>
          <w:szCs w:val="32"/>
          <w:lang w:val="en-US" w:eastAsia="zh-CN"/>
        </w:rPr>
        <w:t>239.97</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42.8</w:t>
      </w:r>
      <w:r>
        <w:rPr>
          <w:rFonts w:hint="eastAsia" w:ascii="仿宋_GB2312" w:eastAsia="仿宋_GB2312" w:cs="DengXian-Regular"/>
          <w:sz w:val="32"/>
          <w:szCs w:val="32"/>
        </w:rPr>
        <w:t>%；项目支出</w:t>
      </w:r>
      <w:r>
        <w:rPr>
          <w:rFonts w:hint="eastAsia" w:ascii="仿宋_GB2312" w:eastAsia="仿宋_GB2312" w:cs="DengXian-Regular"/>
          <w:sz w:val="32"/>
          <w:szCs w:val="32"/>
          <w:lang w:val="en-US" w:eastAsia="zh-CN"/>
        </w:rPr>
        <w:t>16.7</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2.98</w:t>
      </w:r>
      <w:r>
        <w:rPr>
          <w:rFonts w:hint="eastAsia" w:ascii="仿宋_GB2312" w:eastAsia="仿宋_GB2312" w:cs="DengXian-Regular"/>
          <w:sz w:val="32"/>
          <w:szCs w:val="32"/>
        </w:rPr>
        <w:t>%；经营支出</w:t>
      </w:r>
      <w:r>
        <w:rPr>
          <w:rFonts w:hint="eastAsia" w:ascii="仿宋_GB2312" w:eastAsia="仿宋_GB2312" w:cs="DengXian-Regular"/>
          <w:sz w:val="32"/>
          <w:szCs w:val="32"/>
          <w:lang w:val="en-US" w:eastAsia="zh-CN"/>
        </w:rPr>
        <w:t>304</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54.22</w:t>
      </w:r>
      <w:r>
        <w:rPr>
          <w:rFonts w:hint="eastAsia" w:ascii="仿宋_GB2312" w:eastAsia="仿宋_GB2312" w:cs="DengXian-Regular"/>
          <w:sz w:val="32"/>
          <w:szCs w:val="32"/>
        </w:rPr>
        <w:t>%。</w:t>
      </w:r>
    </w:p>
    <w:p>
      <w:pPr>
        <w:adjustRightInd w:val="0"/>
        <w:snapToGrid w:val="0"/>
        <w:spacing w:line="560" w:lineRule="exact"/>
        <w:ind w:firstLine="2560" w:firstLineChars="800"/>
        <w:rPr>
          <w:rFonts w:eastAsia="仿宋_GB2312"/>
          <w:sz w:val="32"/>
          <w:szCs w:val="32"/>
        </w:rPr>
      </w:pPr>
      <w:r>
        <w:rPr>
          <w:rFonts w:hint="eastAsia" w:ascii="仿宋_GB2312" w:eastAsia="仿宋_GB2312" w:cs="DengXian-Regular"/>
          <w:sz w:val="32"/>
          <w:szCs w:val="32"/>
          <w:lang w:eastAsia="zh-CN"/>
        </w:rPr>
        <w:drawing>
          <wp:anchor distT="0" distB="0" distL="114300" distR="114300" simplePos="0" relativeHeight="251661312" behindDoc="0" locked="0" layoutInCell="1" allowOverlap="1">
            <wp:simplePos x="0" y="0"/>
            <wp:positionH relativeFrom="column">
              <wp:posOffset>681990</wp:posOffset>
            </wp:positionH>
            <wp:positionV relativeFrom="paragraph">
              <wp:posOffset>871220</wp:posOffset>
            </wp:positionV>
            <wp:extent cx="4574540" cy="2230120"/>
            <wp:effectExtent l="4445" t="4445" r="12065" b="1333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rPr>
          <w:rFonts w:hint="eastAsia" w:ascii="仿宋_GB2312" w:eastAsia="仿宋_GB2312" w:cs="DengXian-Regular"/>
          <w:sz w:val="32"/>
          <w:szCs w:val="32"/>
        </w:rPr>
        <w:t>图2：支出决算结构饼状图</w:t>
      </w:r>
    </w:p>
    <w:p>
      <w:pPr>
        <w:widowControl/>
        <w:numPr>
          <w:ilvl w:val="0"/>
          <w:numId w:val="1"/>
        </w:numPr>
        <w:spacing w:line="580" w:lineRule="exact"/>
        <w:ind w:left="0" w:leftChars="0" w:firstLine="1285" w:firstLineChars="400"/>
        <w:rPr>
          <w:rFonts w:eastAsia="仿宋_GB2312"/>
          <w:b/>
          <w:bCs/>
          <w:sz w:val="32"/>
          <w:szCs w:val="32"/>
        </w:rPr>
      </w:pPr>
      <w:r>
        <w:rPr>
          <w:rFonts w:eastAsia="仿宋_GB2312"/>
          <w:b/>
          <w:bCs/>
          <w:sz w:val="32"/>
          <w:szCs w:val="32"/>
        </w:rPr>
        <w:t>财政拨款收入支出决算总体情况说明</w:t>
      </w:r>
    </w:p>
    <w:p>
      <w:pPr>
        <w:widowControl/>
        <w:numPr>
          <w:ilvl w:val="0"/>
          <w:numId w:val="0"/>
        </w:numPr>
        <w:spacing w:line="580" w:lineRule="exact"/>
        <w:rPr>
          <w:rFonts w:eastAsia="仿宋_GB2312"/>
          <w:b/>
          <w:bCs/>
          <w:sz w:val="32"/>
          <w:szCs w:val="32"/>
        </w:rPr>
      </w:pPr>
      <w:r>
        <w:rPr>
          <w:rFonts w:hint="eastAsia" w:eastAsia="仿宋_GB2312"/>
          <w:b/>
          <w:bCs/>
          <w:sz w:val="32"/>
          <w:szCs w:val="32"/>
        </w:rPr>
        <w:t>（一）财政拨款收支与201</w:t>
      </w:r>
      <w:r>
        <w:rPr>
          <w:rFonts w:hint="eastAsia" w:eastAsia="仿宋_GB2312"/>
          <w:b/>
          <w:bCs/>
          <w:sz w:val="32"/>
          <w:szCs w:val="32"/>
          <w:lang w:val="en-US" w:eastAsia="zh-CN"/>
        </w:rPr>
        <w:t>6</w:t>
      </w:r>
      <w:r>
        <w:rPr>
          <w:rFonts w:hint="eastAsia" w:eastAsia="仿宋_GB2312"/>
          <w:b/>
          <w:bCs/>
          <w:sz w:val="32"/>
          <w:szCs w:val="32"/>
        </w:rPr>
        <w:t>年度决算对比情况</w:t>
      </w:r>
    </w:p>
    <w:p>
      <w:pPr>
        <w:adjustRightInd w:val="0"/>
        <w:snapToGrid w:val="0"/>
        <w:spacing w:after="0" w:line="560" w:lineRule="exact"/>
        <w:ind w:firstLine="640" w:firstLineChars="200"/>
        <w:rPr>
          <w:rFonts w:hint="eastAsia" w:ascii="仿宋_GB2312" w:eastAsia="仿宋_GB2312" w:cs="DengXian-Regular"/>
          <w:sz w:val="32"/>
          <w:szCs w:val="32"/>
          <w:lang w:eastAsia="zh-CN"/>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年度财政拨款收支全部为一般公共预算财政拨款收支。一般公共预算财政拨款</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年初结转和结余</w:t>
      </w:r>
      <w:r>
        <w:rPr>
          <w:rFonts w:hint="eastAsia" w:ascii="仿宋_GB2312" w:eastAsia="仿宋_GB2312" w:cs="DengXian-Regular"/>
          <w:sz w:val="32"/>
          <w:szCs w:val="32"/>
          <w:lang w:val="en-US" w:eastAsia="zh-CN"/>
        </w:rPr>
        <w:t>,</w:t>
      </w:r>
      <w:r>
        <w:rPr>
          <w:rFonts w:hint="eastAsia" w:ascii="仿宋_GB2312" w:eastAsia="仿宋_GB2312" w:cs="DengXian-Regular"/>
          <w:sz w:val="32"/>
          <w:szCs w:val="32"/>
        </w:rPr>
        <w:t>本年收入</w:t>
      </w:r>
      <w:r>
        <w:rPr>
          <w:rFonts w:hint="eastAsia" w:ascii="仿宋_GB2312" w:eastAsia="仿宋_GB2312" w:cs="DengXian-Regular"/>
          <w:sz w:val="32"/>
          <w:szCs w:val="32"/>
          <w:lang w:val="en-US" w:eastAsia="zh-CN"/>
        </w:rPr>
        <w:t>247.44</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247.44</w:t>
      </w:r>
      <w:r>
        <w:rPr>
          <w:rFonts w:hint="eastAsia" w:ascii="仿宋_GB2312" w:eastAsia="仿宋_GB2312" w:cs="DengXian-Regular"/>
          <w:sz w:val="32"/>
          <w:szCs w:val="32"/>
        </w:rPr>
        <w:t>万元、年末</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结转和结余。与201</w:t>
      </w:r>
      <w:r>
        <w:rPr>
          <w:rFonts w:hint="eastAsia" w:ascii="仿宋_GB2312" w:eastAsia="仿宋_GB2312" w:cs="DengXian-Regular"/>
          <w:sz w:val="32"/>
          <w:szCs w:val="32"/>
          <w:lang w:val="en-US" w:eastAsia="zh-CN"/>
        </w:rPr>
        <w:t>6</w:t>
      </w:r>
      <w:r>
        <w:rPr>
          <w:rFonts w:hint="eastAsia" w:ascii="仿宋_GB2312" w:eastAsia="仿宋_GB2312" w:cs="DengXian-Regular"/>
          <w:sz w:val="32"/>
          <w:szCs w:val="32"/>
        </w:rPr>
        <w:t>年度决算相比，一般公共预算财政拨款本年收入</w:t>
      </w:r>
      <w:r>
        <w:rPr>
          <w:rFonts w:hint="eastAsia" w:ascii="仿宋_GB2312" w:eastAsia="仿宋_GB2312" w:cs="DengXian-Regular"/>
          <w:sz w:val="32"/>
          <w:szCs w:val="32"/>
          <w:lang w:eastAsia="zh-CN"/>
        </w:rPr>
        <w:t>减少</w:t>
      </w:r>
      <w:r>
        <w:rPr>
          <w:rFonts w:hint="eastAsia" w:ascii="仿宋_GB2312" w:eastAsia="仿宋_GB2312" w:cs="DengXian-Regular"/>
          <w:sz w:val="32"/>
          <w:szCs w:val="32"/>
          <w:lang w:val="en-US" w:eastAsia="zh-CN"/>
        </w:rPr>
        <w:t>34.19</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降低</w:t>
      </w:r>
      <w:r>
        <w:rPr>
          <w:rFonts w:hint="eastAsia" w:ascii="仿宋_GB2312" w:eastAsia="仿宋_GB2312" w:cs="DengXian-Regular"/>
          <w:sz w:val="32"/>
          <w:szCs w:val="32"/>
          <w:lang w:val="en-US" w:eastAsia="zh-CN"/>
        </w:rPr>
        <w:t>12.14</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减少了</w:t>
      </w:r>
      <w:r>
        <w:rPr>
          <w:rFonts w:hint="eastAsia" w:ascii="仿宋_GB2312" w:eastAsia="仿宋_GB2312" w:cs="DengXian-Regular"/>
          <w:sz w:val="32"/>
          <w:szCs w:val="32"/>
          <w:lang w:val="en-US" w:eastAsia="zh-CN"/>
        </w:rPr>
        <w:t>4名在职员工，因此人员</w:t>
      </w:r>
      <w:r>
        <w:rPr>
          <w:rFonts w:hint="eastAsia" w:ascii="仿宋_GB2312" w:eastAsia="仿宋_GB2312" w:cs="DengXian-Regular"/>
          <w:sz w:val="32"/>
          <w:szCs w:val="32"/>
          <w:lang w:eastAsia="zh-CN"/>
        </w:rPr>
        <w:t>经费减少。</w:t>
      </w:r>
    </w:p>
    <w:p>
      <w:pPr>
        <w:spacing w:after="0" w:line="560" w:lineRule="exact"/>
        <w:rPr>
          <w:rFonts w:ascii="仿宋_GB2312" w:eastAsia="仿宋_GB2312" w:cs="DengXian-Bold"/>
          <w:b/>
          <w:bCs/>
          <w:sz w:val="32"/>
          <w:szCs w:val="32"/>
        </w:rPr>
      </w:pPr>
      <w:r>
        <w:rPr>
          <w:rFonts w:hint="eastAsia" w:ascii="楷体_GB2312" w:eastAsia="楷体_GB2312" w:cs="DengXian-Bold"/>
          <w:b/>
          <w:bCs/>
          <w:sz w:val="32"/>
          <w:szCs w:val="32"/>
        </w:rPr>
        <w:t>（二）财政拨款收支与年初预算数对比情况</w:t>
      </w:r>
    </w:p>
    <w:p>
      <w:pPr>
        <w:adjustRightInd w:val="0"/>
        <w:snapToGrid w:val="0"/>
        <w:spacing w:after="0" w:line="560" w:lineRule="exact"/>
        <w:ind w:firstLine="640" w:firstLineChars="200"/>
        <w:rPr>
          <w:rFonts w:eastAsia="仿宋_GB2312"/>
          <w:sz w:val="32"/>
          <w:szCs w:val="32"/>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年度一般公共预算财政拨款本年收入较201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年初预算</w:t>
      </w:r>
      <w:r>
        <w:rPr>
          <w:rFonts w:hint="eastAsia" w:ascii="仿宋_GB2312" w:eastAsia="仿宋_GB2312" w:cs="DengXian-Regular"/>
          <w:sz w:val="32"/>
          <w:szCs w:val="32"/>
          <w:lang w:eastAsia="zh-CN"/>
        </w:rPr>
        <w:t>减少</w:t>
      </w:r>
      <w:r>
        <w:rPr>
          <w:rFonts w:hint="eastAsia" w:ascii="仿宋_GB2312" w:eastAsia="仿宋_GB2312" w:cs="DengXian-Regular"/>
          <w:sz w:val="32"/>
          <w:szCs w:val="32"/>
          <w:lang w:val="en-US" w:eastAsia="zh-CN"/>
        </w:rPr>
        <w:t>8.4</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降低</w:t>
      </w:r>
      <w:r>
        <w:rPr>
          <w:rFonts w:hint="eastAsia" w:ascii="仿宋_GB2312" w:eastAsia="仿宋_GB2312" w:cs="DengXian-Regular"/>
          <w:sz w:val="32"/>
          <w:szCs w:val="32"/>
          <w:lang w:val="en-US" w:eastAsia="zh-CN"/>
        </w:rPr>
        <w:t>3.28</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本年度中有退休人员，因此人员经费减少</w:t>
      </w:r>
      <w:r>
        <w:rPr>
          <w:rFonts w:hint="eastAsia" w:ascii="仿宋_GB2312" w:eastAsia="仿宋_GB2312" w:cs="DengXian-Regular"/>
          <w:sz w:val="32"/>
          <w:szCs w:val="32"/>
        </w:rPr>
        <w:t>；本年支出</w:t>
      </w:r>
      <w:r>
        <w:rPr>
          <w:rFonts w:hint="eastAsia" w:ascii="仿宋_GB2312" w:eastAsia="仿宋_GB2312" w:cs="DengXian-Regular"/>
          <w:sz w:val="32"/>
          <w:szCs w:val="32"/>
          <w:lang w:eastAsia="zh-CN"/>
        </w:rPr>
        <w:t>降低</w:t>
      </w:r>
      <w:r>
        <w:rPr>
          <w:rFonts w:hint="eastAsia" w:ascii="仿宋_GB2312" w:eastAsia="仿宋_GB2312" w:cs="DengXian-Regular"/>
          <w:sz w:val="32"/>
          <w:szCs w:val="32"/>
          <w:lang w:val="en-US" w:eastAsia="zh-CN"/>
        </w:rPr>
        <w:t>8.4</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降低</w:t>
      </w:r>
      <w:r>
        <w:rPr>
          <w:rFonts w:hint="eastAsia" w:ascii="仿宋_GB2312" w:eastAsia="仿宋_GB2312" w:cs="DengXian-Regular"/>
          <w:sz w:val="32"/>
          <w:szCs w:val="32"/>
          <w:lang w:val="en-US" w:eastAsia="zh-CN"/>
        </w:rPr>
        <w:t xml:space="preserve">3.28 </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本年度中有退休人员，因此人员经费减少</w:t>
      </w:r>
      <w:r>
        <w:rPr>
          <w:rFonts w:hint="eastAsia" w:ascii="仿宋_GB2312" w:eastAsia="仿宋_GB2312" w:cs="DengXian-Regular"/>
          <w:sz w:val="32"/>
          <w:szCs w:val="32"/>
        </w:rPr>
        <w:t>。</w:t>
      </w:r>
    </w:p>
    <w:p>
      <w:pPr>
        <w:widowControl/>
        <w:spacing w:line="580" w:lineRule="exact"/>
        <w:ind w:left="640" w:firstLine="643" w:firstLineChars="200"/>
        <w:rPr>
          <w:rFonts w:eastAsia="仿宋_GB2312"/>
          <w:b/>
          <w:bCs/>
          <w:sz w:val="32"/>
          <w:szCs w:val="32"/>
        </w:rPr>
      </w:pPr>
      <w:r>
        <w:rPr>
          <w:rFonts w:eastAsia="仿宋_GB2312"/>
          <w:b/>
          <w:bCs/>
          <w:sz w:val="32"/>
          <w:szCs w:val="32"/>
        </w:rPr>
        <w:t>五、“三公”经费支出决算情况说明</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年度“三公”经费支出共计</w:t>
      </w:r>
      <w:r>
        <w:rPr>
          <w:rFonts w:hint="eastAsia" w:ascii="仿宋_GB2312" w:eastAsia="仿宋_GB2312" w:cs="DengXian-Regular"/>
          <w:sz w:val="32"/>
          <w:szCs w:val="32"/>
          <w:lang w:val="en-US" w:eastAsia="zh-CN"/>
        </w:rPr>
        <w:t>2.6</w:t>
      </w:r>
      <w:r>
        <w:rPr>
          <w:rFonts w:hint="eastAsia" w:ascii="仿宋_GB2312" w:eastAsia="仿宋_GB2312" w:cs="DengXian-Regular"/>
          <w:sz w:val="32"/>
          <w:szCs w:val="32"/>
        </w:rPr>
        <w:t>万元，较年初预算减少</w:t>
      </w:r>
      <w:r>
        <w:rPr>
          <w:rFonts w:hint="eastAsia" w:ascii="仿宋_GB2312" w:eastAsia="仿宋_GB2312" w:cs="DengXian-Regular"/>
          <w:sz w:val="32"/>
          <w:szCs w:val="32"/>
          <w:lang w:val="en-US" w:eastAsia="zh-CN"/>
        </w:rPr>
        <w:t>0.1</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3.7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精简车辆运行、维修费用</w:t>
      </w:r>
      <w:r>
        <w:rPr>
          <w:rFonts w:hint="eastAsia" w:ascii="仿宋_GB2312" w:eastAsia="仿宋_GB2312" w:cs="DengXian-Regular"/>
          <w:sz w:val="32"/>
          <w:szCs w:val="32"/>
        </w:rPr>
        <w:t>；较201</w:t>
      </w:r>
      <w:r>
        <w:rPr>
          <w:rFonts w:hint="eastAsia" w:ascii="仿宋_GB2312" w:eastAsia="仿宋_GB2312" w:cs="DengXian-Regular"/>
          <w:sz w:val="32"/>
          <w:szCs w:val="32"/>
          <w:lang w:val="en-US" w:eastAsia="zh-CN"/>
        </w:rPr>
        <w:t>6</w:t>
      </w:r>
      <w:r>
        <w:rPr>
          <w:rFonts w:hint="eastAsia" w:ascii="仿宋_GB2312" w:eastAsia="仿宋_GB2312" w:cs="DengXian-Regular"/>
          <w:sz w:val="32"/>
          <w:szCs w:val="32"/>
        </w:rPr>
        <w:t>年度</w:t>
      </w:r>
      <w:r>
        <w:rPr>
          <w:rFonts w:hint="eastAsia" w:ascii="仿宋_GB2312" w:eastAsia="仿宋_GB2312" w:cs="DengXian-Regular"/>
          <w:sz w:val="32"/>
          <w:szCs w:val="32"/>
          <w:lang w:eastAsia="zh-CN"/>
        </w:rPr>
        <w:t>决算无增减变化。</w:t>
      </w:r>
      <w:r>
        <w:rPr>
          <w:rFonts w:hint="eastAsia" w:ascii="仿宋_GB2312" w:eastAsia="仿宋_GB2312" w:cs="DengXian-Regular"/>
          <w:sz w:val="32"/>
          <w:szCs w:val="32"/>
        </w:rPr>
        <w:t>具体情况如下：</w:t>
      </w:r>
    </w:p>
    <w:p>
      <w:pPr>
        <w:numPr>
          <w:ilvl w:val="0"/>
          <w:numId w:val="2"/>
        </w:numPr>
        <w:adjustRightInd w:val="0"/>
        <w:snapToGrid w:val="0"/>
        <w:spacing w:after="0" w:line="560" w:lineRule="exact"/>
        <w:ind w:firstLine="643" w:firstLineChars="200"/>
        <w:rPr>
          <w:rFonts w:hint="eastAsia" w:ascii="楷体_GB2312" w:eastAsia="楷体_GB2312" w:cs="DengXian-Bold"/>
          <w:b/>
          <w:bCs/>
          <w:sz w:val="32"/>
          <w:szCs w:val="32"/>
        </w:rPr>
      </w:pPr>
      <w:r>
        <w:rPr>
          <w:rFonts w:hint="eastAsia" w:ascii="楷体_GB2312" w:eastAsia="楷体_GB2312" w:cs="DengXian-Bold"/>
          <w:b/>
          <w:bCs/>
          <w:sz w:val="32"/>
          <w:szCs w:val="32"/>
        </w:rPr>
        <w:t>因公出国（境）费支出</w:t>
      </w:r>
      <w:r>
        <w:rPr>
          <w:rFonts w:hint="eastAsia" w:ascii="楷体_GB2312" w:eastAsia="楷体_GB2312" w:cs="DengXian-Bold"/>
          <w:b/>
          <w:bCs/>
          <w:sz w:val="32"/>
          <w:szCs w:val="32"/>
          <w:lang w:val="en-US" w:eastAsia="zh-CN"/>
        </w:rPr>
        <w:t>0万元</w:t>
      </w:r>
      <w:r>
        <w:rPr>
          <w:rFonts w:hint="eastAsia" w:ascii="楷体_GB2312" w:eastAsia="楷体_GB2312" w:cs="DengXian-Bold"/>
          <w:b/>
          <w:bCs/>
          <w:sz w:val="32"/>
          <w:szCs w:val="32"/>
          <w:lang w:eastAsia="zh-CN"/>
        </w:rPr>
        <w:t>。</w:t>
      </w:r>
    </w:p>
    <w:p>
      <w:pPr>
        <w:numPr>
          <w:ilvl w:val="0"/>
          <w:numId w:val="0"/>
        </w:numPr>
        <w:adjustRightInd w:val="0"/>
        <w:snapToGrid w:val="0"/>
        <w:spacing w:after="0" w:line="560" w:lineRule="exact"/>
        <w:ind w:firstLine="640" w:firstLineChars="200"/>
        <w:rPr>
          <w:rFonts w:hint="eastAsia" w:ascii="楷体_GB2312" w:eastAsia="楷体_GB2312" w:cs="DengXian-Bold"/>
          <w:b/>
          <w:bCs/>
          <w:sz w:val="32"/>
          <w:szCs w:val="32"/>
        </w:rPr>
      </w:pPr>
      <w:r>
        <w:rPr>
          <w:rFonts w:hint="eastAsia" w:ascii="仿宋_GB2312" w:eastAsia="仿宋_GB2312" w:cs="DengXian-Regular"/>
          <w:sz w:val="32"/>
          <w:szCs w:val="32"/>
          <w:lang w:eastAsia="zh-CN"/>
        </w:rPr>
        <w:t>本单位</w:t>
      </w:r>
      <w:r>
        <w:rPr>
          <w:rFonts w:hint="eastAsia" w:ascii="仿宋_GB2312" w:eastAsia="仿宋_GB2312" w:cs="DengXian-Regular"/>
          <w:sz w:val="32"/>
          <w:szCs w:val="32"/>
          <w:lang w:val="en-US" w:eastAsia="zh-CN"/>
        </w:rPr>
        <w:t>2017年度未发生因公出国（境）费支出，</w:t>
      </w:r>
      <w:r>
        <w:rPr>
          <w:rFonts w:hint="eastAsia" w:ascii="仿宋_GB2312" w:eastAsia="仿宋_GB2312" w:cs="DengXian-Regular"/>
          <w:sz w:val="32"/>
          <w:szCs w:val="32"/>
          <w:lang w:eastAsia="zh-CN"/>
        </w:rPr>
        <w:t>较</w:t>
      </w:r>
      <w:r>
        <w:rPr>
          <w:rFonts w:hint="eastAsia" w:ascii="仿宋_GB2312" w:eastAsia="仿宋_GB2312" w:cs="DengXian-Regular"/>
          <w:sz w:val="32"/>
          <w:szCs w:val="32"/>
          <w:lang w:val="en-US" w:eastAsia="zh-CN"/>
        </w:rPr>
        <w:t>2016年度决算无增减变化</w:t>
      </w:r>
      <w:r>
        <w:rPr>
          <w:rFonts w:hint="eastAsia" w:ascii="楷体_GB2312" w:eastAsia="楷体_GB2312" w:cs="DengXian-Bold"/>
          <w:b/>
          <w:bCs/>
          <w:sz w:val="32"/>
          <w:szCs w:val="32"/>
        </w:rPr>
        <w:t>。</w:t>
      </w:r>
    </w:p>
    <w:p>
      <w:pPr>
        <w:numPr>
          <w:ilvl w:val="0"/>
          <w:numId w:val="2"/>
        </w:numPr>
        <w:adjustRightInd w:val="0"/>
        <w:snapToGrid w:val="0"/>
        <w:spacing w:after="0" w:line="560" w:lineRule="exact"/>
        <w:ind w:left="0" w:leftChars="0" w:firstLine="643" w:firstLineChars="200"/>
        <w:rPr>
          <w:rFonts w:ascii="仿宋_GB2312" w:eastAsia="仿宋_GB2312" w:cs="DengXian-Regular"/>
          <w:color w:val="4E3B30" w:themeColor="text2"/>
          <w:sz w:val="32"/>
          <w:szCs w:val="32"/>
          <w14:textFill>
            <w14:solidFill>
              <w14:schemeClr w14:val="tx2"/>
            </w14:solidFill>
          </w14:textFill>
        </w:rPr>
      </w:pPr>
      <w:r>
        <w:rPr>
          <w:rFonts w:hint="eastAsia" w:ascii="楷体_GB2312" w:eastAsia="楷体_GB2312" w:cs="DengXian-Bold"/>
          <w:b/>
          <w:bCs/>
          <w:sz w:val="32"/>
          <w:szCs w:val="32"/>
        </w:rPr>
        <w:t>公务用车购置及运行维护费支出</w:t>
      </w:r>
      <w:r>
        <w:rPr>
          <w:rFonts w:hint="eastAsia" w:ascii="楷体_GB2312" w:eastAsia="楷体_GB2312" w:cs="DengXian-Bold"/>
          <w:b/>
          <w:bCs/>
          <w:sz w:val="32"/>
          <w:szCs w:val="32"/>
          <w:lang w:val="en-US" w:eastAsia="zh-CN"/>
        </w:rPr>
        <w:t>2.6</w:t>
      </w:r>
      <w:r>
        <w:rPr>
          <w:rFonts w:hint="eastAsia" w:ascii="楷体_GB2312" w:eastAsia="楷体_GB2312" w:cs="DengXian-Bold"/>
          <w:b/>
          <w:bCs/>
          <w:sz w:val="32"/>
          <w:szCs w:val="32"/>
        </w:rPr>
        <w:t>万元。</w:t>
      </w:r>
    </w:p>
    <w:p>
      <w:pPr>
        <w:numPr>
          <w:ilvl w:val="0"/>
          <w:numId w:val="0"/>
        </w:numPr>
        <w:adjustRightInd w:val="0"/>
        <w:snapToGrid w:val="0"/>
        <w:spacing w:after="0" w:line="560" w:lineRule="exact"/>
        <w:ind w:leftChars="200" w:firstLine="640" w:firstLineChars="200"/>
        <w:rPr>
          <w:rFonts w:ascii="仿宋_GB2312" w:eastAsia="仿宋_GB2312" w:cs="DengXian-Regular"/>
          <w:color w:val="4E3B30" w:themeColor="text2"/>
          <w:sz w:val="32"/>
          <w:szCs w:val="32"/>
          <w14:textFill>
            <w14:solidFill>
              <w14:schemeClr w14:val="tx2"/>
            </w14:solidFill>
          </w14:textFill>
        </w:rPr>
      </w:pP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年度公务用车购置及运行维护费较年初预算减少</w:t>
      </w:r>
      <w:r>
        <w:rPr>
          <w:rFonts w:hint="eastAsia" w:ascii="仿宋_GB2312" w:eastAsia="仿宋_GB2312" w:cs="DengXian-Regular"/>
          <w:sz w:val="32"/>
          <w:szCs w:val="32"/>
          <w:lang w:val="en-US" w:eastAsia="zh-CN"/>
        </w:rPr>
        <w:t>0.1</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3.7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精简车辆运行、维修费用</w:t>
      </w:r>
      <w:r>
        <w:rPr>
          <w:rFonts w:hint="eastAsia" w:ascii="仿宋_GB2312" w:eastAsia="仿宋_GB2312" w:cs="DengXian-Regular"/>
          <w:sz w:val="32"/>
          <w:szCs w:val="32"/>
        </w:rPr>
        <w:t>；较201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年度决算</w:t>
      </w:r>
      <w:r>
        <w:rPr>
          <w:rFonts w:hint="eastAsia" w:ascii="仿宋_GB2312" w:eastAsia="仿宋_GB2312" w:cs="DengXian-Regular"/>
          <w:sz w:val="32"/>
          <w:szCs w:val="32"/>
          <w:lang w:eastAsia="zh-CN"/>
        </w:rPr>
        <w:t>无增减变化。</w:t>
      </w:r>
      <w:r>
        <w:rPr>
          <w:rFonts w:hint="eastAsia" w:ascii="仿宋_GB2312" w:eastAsia="仿宋_GB2312" w:cs="DengXian-Bold"/>
          <w:b/>
          <w:bCs/>
          <w:sz w:val="32"/>
          <w:szCs w:val="32"/>
        </w:rPr>
        <w:t>其中</w:t>
      </w:r>
      <w:r>
        <w:rPr>
          <w:rFonts w:hint="eastAsia" w:ascii="仿宋_GB2312" w:eastAsia="仿宋_GB2312" w:cs="DengXian-Bold"/>
          <w:b/>
          <w:bCs/>
          <w:sz w:val="32"/>
          <w:szCs w:val="32"/>
          <w:lang w:eastAsia="zh-CN"/>
        </w:rPr>
        <w:t>：</w:t>
      </w:r>
      <w:r>
        <w:rPr>
          <w:rFonts w:hint="eastAsia" w:ascii="仿宋_GB2312" w:eastAsia="仿宋_GB2312" w:cs="DengXian-Bold"/>
          <w:b/>
          <w:bCs/>
          <w:sz w:val="32"/>
          <w:szCs w:val="32"/>
          <w:lang w:val="en-US" w:eastAsia="zh-CN"/>
        </w:rPr>
        <w:t xml:space="preserve">              </w:t>
      </w:r>
    </w:p>
    <w:p>
      <w:pPr>
        <w:numPr>
          <w:ilvl w:val="0"/>
          <w:numId w:val="0"/>
        </w:numPr>
        <w:adjustRightInd w:val="0"/>
        <w:snapToGrid w:val="0"/>
        <w:spacing w:after="0" w:line="560" w:lineRule="exact"/>
        <w:ind w:firstLine="643" w:firstLineChars="200"/>
        <w:rPr>
          <w:rFonts w:ascii="仿宋_GB2312" w:eastAsia="仿宋_GB2312" w:cs="DengXian-Regular"/>
          <w:color w:val="4E3B30" w:themeColor="text2"/>
          <w:sz w:val="32"/>
          <w:szCs w:val="32"/>
          <w14:textFill>
            <w14:solidFill>
              <w14:schemeClr w14:val="tx2"/>
            </w14:solidFill>
          </w14:textFill>
        </w:rPr>
      </w:pPr>
      <w:r>
        <w:rPr>
          <w:rFonts w:hint="eastAsia" w:ascii="仿宋_GB2312" w:eastAsia="仿宋_GB2312" w:cs="DengXian-Regular"/>
          <w:b/>
          <w:sz w:val="32"/>
          <w:szCs w:val="32"/>
        </w:rPr>
        <w:t>公务用车购置费</w:t>
      </w:r>
      <w:r>
        <w:rPr>
          <w:rFonts w:hint="eastAsia" w:ascii="仿宋_GB2312" w:eastAsia="仿宋_GB2312" w:cs="DengXian-Regular"/>
          <w:b/>
          <w:sz w:val="32"/>
          <w:szCs w:val="32"/>
          <w:lang w:eastAsia="zh-CN"/>
        </w:rPr>
        <w:t>：</w:t>
      </w: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年度公务用车购</w:t>
      </w:r>
      <w:r>
        <w:rPr>
          <w:rFonts w:hint="eastAsia" w:ascii="仿宋_GB2312" w:eastAsia="仿宋_GB2312" w:cs="DengXian-Regular"/>
          <w:sz w:val="32"/>
          <w:szCs w:val="32"/>
          <w:lang w:eastAsia="zh-CN"/>
        </w:rPr>
        <w:t>置费</w:t>
      </w:r>
      <w:r>
        <w:rPr>
          <w:rFonts w:hint="eastAsia" w:ascii="仿宋_GB2312" w:eastAsia="仿宋_GB2312" w:cs="DengXian-Regular"/>
          <w:sz w:val="32"/>
          <w:szCs w:val="32"/>
          <w:lang w:val="en-US" w:eastAsia="zh-CN"/>
        </w:rPr>
        <w:t>0万元，</w:t>
      </w:r>
      <w:r>
        <w:rPr>
          <w:rFonts w:hint="eastAsia" w:ascii="仿宋_GB2312" w:eastAsia="仿宋_GB2312" w:cs="DengXian-Regular"/>
          <w:sz w:val="32"/>
          <w:szCs w:val="32"/>
          <w:lang w:eastAsia="zh-CN"/>
        </w:rPr>
        <w:t>未发生“</w:t>
      </w:r>
      <w:r>
        <w:rPr>
          <w:rFonts w:hint="eastAsia" w:ascii="仿宋_GB2312" w:eastAsia="仿宋_GB2312" w:cs="DengXian-Regular"/>
          <w:sz w:val="32"/>
          <w:szCs w:val="32"/>
        </w:rPr>
        <w:t>公务用车购</w:t>
      </w:r>
      <w:r>
        <w:rPr>
          <w:rFonts w:hint="eastAsia" w:ascii="仿宋_GB2312" w:eastAsia="仿宋_GB2312" w:cs="DengXian-Regular"/>
          <w:sz w:val="32"/>
          <w:szCs w:val="32"/>
          <w:lang w:eastAsia="zh-CN"/>
        </w:rPr>
        <w:t>置”经费支出，较</w:t>
      </w:r>
      <w:r>
        <w:rPr>
          <w:rFonts w:hint="eastAsia" w:ascii="仿宋_GB2312" w:eastAsia="仿宋_GB2312" w:cs="DengXian-Regular"/>
          <w:sz w:val="32"/>
          <w:szCs w:val="32"/>
          <w:lang w:val="en-US" w:eastAsia="zh-CN"/>
        </w:rPr>
        <w:t>2016年度决算无增减变化。</w:t>
      </w:r>
    </w:p>
    <w:p>
      <w:pPr>
        <w:adjustRightInd w:val="0"/>
        <w:snapToGrid w:val="0"/>
        <w:spacing w:after="0" w:line="56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年度单位公务用车保有量</w:t>
      </w: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辆。公车运行维护费支出较年初预算减少</w:t>
      </w:r>
      <w:r>
        <w:rPr>
          <w:rFonts w:hint="eastAsia" w:ascii="仿宋_GB2312" w:eastAsia="仿宋_GB2312" w:cs="DengXian-Regular"/>
          <w:sz w:val="32"/>
          <w:szCs w:val="32"/>
          <w:lang w:val="en-US" w:eastAsia="zh-CN"/>
        </w:rPr>
        <w:t>0.1</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3.7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精简车辆运行、维修费用</w:t>
      </w:r>
      <w:r>
        <w:rPr>
          <w:rFonts w:hint="eastAsia" w:ascii="仿宋_GB2312" w:eastAsia="仿宋_GB2312" w:cs="DengXian-Regular"/>
          <w:sz w:val="32"/>
          <w:szCs w:val="32"/>
        </w:rPr>
        <w:t>；较201</w:t>
      </w:r>
      <w:r>
        <w:rPr>
          <w:rFonts w:hint="eastAsia" w:ascii="仿宋_GB2312" w:eastAsia="仿宋_GB2312" w:cs="DengXian-Regular"/>
          <w:sz w:val="32"/>
          <w:szCs w:val="32"/>
          <w:lang w:val="en-US" w:eastAsia="zh-CN"/>
        </w:rPr>
        <w:t>6</w:t>
      </w:r>
      <w:r>
        <w:rPr>
          <w:rFonts w:hint="eastAsia" w:ascii="仿宋_GB2312" w:eastAsia="仿宋_GB2312" w:cs="DengXian-Regular"/>
          <w:sz w:val="32"/>
          <w:szCs w:val="32"/>
        </w:rPr>
        <w:t>年度决算</w:t>
      </w:r>
      <w:r>
        <w:rPr>
          <w:rFonts w:hint="eastAsia" w:ascii="仿宋_GB2312" w:eastAsia="仿宋_GB2312" w:cs="DengXian-Regular"/>
          <w:sz w:val="32"/>
          <w:szCs w:val="32"/>
          <w:lang w:eastAsia="zh-CN"/>
        </w:rPr>
        <w:t>无增减变化</w:t>
      </w:r>
      <w:r>
        <w:rPr>
          <w:rFonts w:hint="eastAsia" w:ascii="仿宋_GB2312" w:eastAsia="仿宋_GB2312" w:cs="DengXian-Regular"/>
          <w:sz w:val="32"/>
          <w:szCs w:val="32"/>
        </w:rPr>
        <w:t>。</w:t>
      </w:r>
    </w:p>
    <w:p>
      <w:pPr>
        <w:numPr>
          <w:ilvl w:val="0"/>
          <w:numId w:val="2"/>
        </w:numPr>
        <w:adjustRightInd w:val="0"/>
        <w:snapToGrid w:val="0"/>
        <w:spacing w:after="0" w:line="560" w:lineRule="exact"/>
        <w:ind w:left="0" w:leftChars="0" w:firstLine="643" w:firstLineChars="200"/>
        <w:rPr>
          <w:rFonts w:hint="eastAsia" w:ascii="楷体_GB2312" w:eastAsia="楷体_GB2312" w:cs="DengXian-Bold"/>
          <w:b/>
          <w:bCs/>
          <w:sz w:val="32"/>
          <w:szCs w:val="32"/>
        </w:rPr>
      </w:pPr>
      <w:r>
        <w:rPr>
          <w:rFonts w:hint="eastAsia" w:ascii="楷体_GB2312" w:eastAsia="楷体_GB2312" w:cs="DengXian-Bold"/>
          <w:b/>
          <w:bCs/>
          <w:sz w:val="32"/>
          <w:szCs w:val="32"/>
        </w:rPr>
        <w:t>公务接待费</w:t>
      </w:r>
      <w:r>
        <w:rPr>
          <w:rFonts w:hint="eastAsia" w:ascii="楷体_GB2312" w:eastAsia="楷体_GB2312" w:cs="DengXian-Bold"/>
          <w:b/>
          <w:bCs/>
          <w:sz w:val="32"/>
          <w:szCs w:val="32"/>
          <w:lang w:eastAsia="zh-CN"/>
        </w:rPr>
        <w:t>支出</w:t>
      </w:r>
      <w:r>
        <w:rPr>
          <w:rFonts w:hint="eastAsia" w:ascii="楷体_GB2312" w:eastAsia="楷体_GB2312" w:cs="DengXian-Bold"/>
          <w:b/>
          <w:bCs/>
          <w:sz w:val="32"/>
          <w:szCs w:val="32"/>
          <w:lang w:val="en-US" w:eastAsia="zh-CN"/>
        </w:rPr>
        <w:t>0万元</w:t>
      </w:r>
      <w:r>
        <w:rPr>
          <w:rFonts w:hint="eastAsia" w:ascii="楷体_GB2312" w:eastAsia="楷体_GB2312" w:cs="DengXian-Bold"/>
          <w:b/>
          <w:bCs/>
          <w:sz w:val="32"/>
          <w:szCs w:val="32"/>
        </w:rPr>
        <w:t>。</w:t>
      </w:r>
    </w:p>
    <w:p>
      <w:pPr>
        <w:numPr>
          <w:ilvl w:val="0"/>
          <w:numId w:val="0"/>
        </w:numPr>
        <w:adjustRightInd w:val="0"/>
        <w:snapToGrid w:val="0"/>
        <w:spacing w:after="0" w:line="560" w:lineRule="exact"/>
        <w:ind w:leftChars="200" w:firstLine="640" w:firstLineChars="200"/>
        <w:rPr>
          <w:rFonts w:hint="eastAsia" w:ascii="楷体_GB2312" w:eastAsia="楷体_GB2312" w:cs="DengXian-Bold"/>
          <w:b w:val="0"/>
          <w:bCs w:val="0"/>
          <w:sz w:val="32"/>
          <w:szCs w:val="32"/>
          <w:lang w:val="en-US" w:eastAsia="zh-CN"/>
        </w:rPr>
      </w:pPr>
      <w:r>
        <w:rPr>
          <w:rFonts w:hint="eastAsia" w:ascii="楷体_GB2312" w:eastAsia="楷体_GB2312" w:cs="DengXian-Bold"/>
          <w:b w:val="0"/>
          <w:bCs w:val="0"/>
          <w:sz w:val="32"/>
          <w:szCs w:val="32"/>
          <w:lang w:eastAsia="zh-CN"/>
        </w:rPr>
        <w:t>本单位</w:t>
      </w:r>
      <w:r>
        <w:rPr>
          <w:rFonts w:hint="eastAsia" w:ascii="楷体_GB2312" w:eastAsia="楷体_GB2312" w:cs="DengXian-Bold"/>
          <w:b w:val="0"/>
          <w:bCs w:val="0"/>
          <w:sz w:val="32"/>
          <w:szCs w:val="32"/>
          <w:lang w:val="en-US" w:eastAsia="zh-CN"/>
        </w:rPr>
        <w:t>2017年度未发生公务接待费用，较2016年度决算无增减变化。</w:t>
      </w:r>
    </w:p>
    <w:p>
      <w:pPr>
        <w:widowControl/>
        <w:numPr>
          <w:ilvl w:val="0"/>
          <w:numId w:val="3"/>
        </w:numPr>
        <w:spacing w:line="580" w:lineRule="exact"/>
        <w:ind w:firstLine="1285" w:firstLineChars="400"/>
        <w:rPr>
          <w:rFonts w:eastAsia="仿宋_GB2312"/>
          <w:b w:val="0"/>
          <w:bCs w:val="0"/>
          <w:sz w:val="32"/>
          <w:szCs w:val="32"/>
        </w:rPr>
      </w:pPr>
      <w:r>
        <w:rPr>
          <w:rFonts w:eastAsia="仿宋_GB2312"/>
          <w:b/>
          <w:bCs/>
          <w:sz w:val="32"/>
          <w:szCs w:val="32"/>
        </w:rPr>
        <w:t>预算绩效管理工作开展情况说明</w:t>
      </w:r>
    </w:p>
    <w:p>
      <w:pPr>
        <w:widowControl/>
        <w:numPr>
          <w:ilvl w:val="0"/>
          <w:numId w:val="4"/>
        </w:numPr>
        <w:spacing w:line="580" w:lineRule="exact"/>
        <w:ind w:firstLine="640" w:firstLineChars="200"/>
        <w:rPr>
          <w:rFonts w:hint="eastAsia" w:eastAsia="仿宋_GB2312"/>
          <w:b w:val="0"/>
          <w:bCs w:val="0"/>
          <w:sz w:val="32"/>
          <w:szCs w:val="32"/>
        </w:rPr>
      </w:pPr>
      <w:r>
        <w:rPr>
          <w:rFonts w:hint="eastAsia" w:eastAsia="仿宋_GB2312"/>
          <w:b w:val="0"/>
          <w:bCs w:val="0"/>
          <w:sz w:val="32"/>
          <w:szCs w:val="32"/>
        </w:rPr>
        <w:t>绩效管理工作开展情况</w:t>
      </w:r>
    </w:p>
    <w:p>
      <w:pPr>
        <w:widowControl/>
        <w:numPr>
          <w:ilvl w:val="0"/>
          <w:numId w:val="0"/>
        </w:numPr>
        <w:spacing w:line="580" w:lineRule="exact"/>
        <w:ind w:firstLine="640" w:firstLineChars="200"/>
        <w:rPr>
          <w:rFonts w:hint="eastAsia" w:eastAsia="仿宋_GB2312"/>
          <w:b w:val="0"/>
          <w:bCs w:val="0"/>
          <w:sz w:val="32"/>
          <w:szCs w:val="32"/>
          <w:lang w:eastAsia="zh-CN"/>
        </w:rPr>
      </w:pPr>
      <w:r>
        <w:rPr>
          <w:rFonts w:hint="eastAsia" w:eastAsia="仿宋_GB2312"/>
          <w:b w:val="0"/>
          <w:bCs w:val="0"/>
          <w:sz w:val="32"/>
          <w:szCs w:val="32"/>
        </w:rPr>
        <w:t>根据绩效预算管理改革督察要求，本单位认真开展了预算绩效管理改革开展情况自查，对部门全面规范绩效预算编制、严格预算执行管理、推进绩效评价工作、推进预决算信息公开等方面进行了自评，根据中国石家庄市委全面深化改革领导小组办公室《关于推进绩效预算管理改革情况的督察通报》（石改革办字[2018]25号），考核结果为</w:t>
      </w:r>
      <w:r>
        <w:rPr>
          <w:rFonts w:hint="eastAsia" w:eastAsia="仿宋_GB2312"/>
          <w:b w:val="0"/>
          <w:bCs w:val="0"/>
          <w:sz w:val="32"/>
          <w:szCs w:val="32"/>
          <w:lang w:eastAsia="zh-CN"/>
        </w:rPr>
        <w:t>良好。</w:t>
      </w:r>
    </w:p>
    <w:p>
      <w:pPr>
        <w:widowControl/>
        <w:numPr>
          <w:ilvl w:val="0"/>
          <w:numId w:val="0"/>
        </w:numPr>
        <w:spacing w:line="580" w:lineRule="exact"/>
        <w:ind w:firstLine="640" w:firstLineChars="200"/>
        <w:rPr>
          <w:rFonts w:hint="eastAsia" w:eastAsia="仿宋_GB2312"/>
          <w:b w:val="0"/>
          <w:bCs w:val="0"/>
          <w:sz w:val="32"/>
          <w:szCs w:val="32"/>
          <w:lang w:eastAsia="zh-CN"/>
        </w:rPr>
      </w:pPr>
      <w:r>
        <w:rPr>
          <w:rFonts w:hint="eastAsia" w:eastAsia="仿宋_GB2312"/>
          <w:b w:val="0"/>
          <w:bCs w:val="0"/>
          <w:sz w:val="32"/>
          <w:szCs w:val="32"/>
          <w:lang w:eastAsia="zh-CN"/>
        </w:rPr>
        <w:t xml:space="preserve">1、液化气职责为解决我区干部职工居民生活用气。  </w:t>
      </w:r>
    </w:p>
    <w:p>
      <w:pPr>
        <w:widowControl/>
        <w:numPr>
          <w:ilvl w:val="0"/>
          <w:numId w:val="0"/>
        </w:numPr>
        <w:spacing w:line="580" w:lineRule="exact"/>
        <w:ind w:firstLine="640" w:firstLineChars="200"/>
        <w:rPr>
          <w:rFonts w:hint="eastAsia" w:eastAsia="仿宋_GB2312"/>
          <w:b w:val="0"/>
          <w:bCs w:val="0"/>
          <w:sz w:val="32"/>
          <w:szCs w:val="32"/>
          <w:lang w:val="en-US" w:eastAsia="zh-CN"/>
        </w:rPr>
      </w:pPr>
      <w:r>
        <w:rPr>
          <w:rFonts w:hint="eastAsia" w:eastAsia="仿宋_GB2312"/>
          <w:b w:val="0"/>
          <w:bCs w:val="0"/>
          <w:sz w:val="32"/>
          <w:szCs w:val="32"/>
          <w:lang w:eastAsia="zh-CN"/>
        </w:rPr>
        <w:t>（</w:t>
      </w:r>
      <w:r>
        <w:rPr>
          <w:rFonts w:hint="eastAsia" w:eastAsia="仿宋_GB2312"/>
          <w:b w:val="0"/>
          <w:bCs w:val="0"/>
          <w:sz w:val="32"/>
          <w:szCs w:val="32"/>
          <w:lang w:val="en-US" w:eastAsia="zh-CN"/>
        </w:rPr>
        <w:t>1）液化气燃气供应保障率100%。</w:t>
      </w:r>
    </w:p>
    <w:p>
      <w:pPr>
        <w:widowControl/>
        <w:numPr>
          <w:ilvl w:val="0"/>
          <w:numId w:val="0"/>
        </w:numPr>
        <w:spacing w:line="580" w:lineRule="exact"/>
        <w:ind w:firstLine="640" w:firstLineChars="200"/>
        <w:rPr>
          <w:rFonts w:hint="eastAsia" w:eastAsia="仿宋_GB2312"/>
          <w:b w:val="0"/>
          <w:bCs w:val="0"/>
          <w:sz w:val="32"/>
          <w:szCs w:val="32"/>
          <w:lang w:val="en-US" w:eastAsia="zh-CN"/>
        </w:rPr>
      </w:pPr>
      <w:r>
        <w:rPr>
          <w:rFonts w:hint="eastAsia" w:eastAsia="仿宋_GB2312"/>
          <w:b w:val="0"/>
          <w:bCs w:val="0"/>
          <w:sz w:val="32"/>
          <w:szCs w:val="32"/>
          <w:lang w:eastAsia="zh-CN"/>
        </w:rPr>
        <w:t>（</w:t>
      </w:r>
      <w:r>
        <w:rPr>
          <w:rFonts w:hint="eastAsia" w:eastAsia="仿宋_GB2312"/>
          <w:b w:val="0"/>
          <w:bCs w:val="0"/>
          <w:sz w:val="32"/>
          <w:szCs w:val="32"/>
          <w:lang w:val="en-US" w:eastAsia="zh-CN"/>
        </w:rPr>
        <w:t>2）充分发挥优质服务窗口作用，制定完善的液化气公司服务承诺，制展牌悬挂在开票明显处，自觉接受用户监督。</w:t>
      </w:r>
    </w:p>
    <w:p>
      <w:pPr>
        <w:widowControl/>
        <w:numPr>
          <w:ilvl w:val="0"/>
          <w:numId w:val="0"/>
        </w:numPr>
        <w:spacing w:line="580" w:lineRule="exact"/>
        <w:ind w:firstLine="640" w:firstLineChars="200"/>
        <w:rPr>
          <w:rFonts w:hint="eastAsia" w:eastAsia="仿宋_GB2312"/>
          <w:b w:val="0"/>
          <w:bCs w:val="0"/>
          <w:sz w:val="32"/>
          <w:szCs w:val="32"/>
          <w:lang w:eastAsia="zh-CN"/>
        </w:rPr>
      </w:pPr>
      <w:r>
        <w:rPr>
          <w:rFonts w:hint="eastAsia" w:eastAsia="仿宋_GB2312"/>
          <w:b w:val="0"/>
          <w:bCs w:val="0"/>
          <w:sz w:val="32"/>
          <w:szCs w:val="32"/>
          <w:lang w:val="en-US" w:eastAsia="zh-CN"/>
        </w:rPr>
        <w:t>（3）城区内早7-晚7送气服务，全年365天不间断。出厂合格率100%，送气及时率100%，用户满意度95%以上。</w:t>
      </w:r>
      <w:r>
        <w:rPr>
          <w:rFonts w:hint="eastAsia" w:eastAsia="仿宋_GB2312"/>
          <w:b w:val="0"/>
          <w:bCs w:val="0"/>
          <w:sz w:val="32"/>
          <w:szCs w:val="32"/>
          <w:lang w:eastAsia="zh-CN"/>
        </w:rPr>
        <w:t xml:space="preserve">  </w:t>
      </w:r>
    </w:p>
    <w:p>
      <w:pPr>
        <w:widowControl/>
        <w:numPr>
          <w:ilvl w:val="0"/>
          <w:numId w:val="0"/>
        </w:numPr>
        <w:spacing w:line="580" w:lineRule="exact"/>
        <w:ind w:firstLine="640" w:firstLineChars="200"/>
        <w:rPr>
          <w:rFonts w:hint="eastAsia" w:eastAsia="仿宋_GB2312"/>
          <w:b w:val="0"/>
          <w:bCs w:val="0"/>
          <w:sz w:val="32"/>
          <w:szCs w:val="32"/>
          <w:lang w:eastAsia="zh-CN"/>
        </w:rPr>
      </w:pPr>
      <w:r>
        <w:rPr>
          <w:rFonts w:hint="eastAsia" w:eastAsia="仿宋_GB2312"/>
          <w:b w:val="0"/>
          <w:bCs w:val="0"/>
          <w:sz w:val="32"/>
          <w:szCs w:val="32"/>
          <w:lang w:eastAsia="zh-CN"/>
        </w:rPr>
        <w:t>2、做好对液化气专用设备的检验，保证安全生产。</w:t>
      </w:r>
    </w:p>
    <w:p>
      <w:pPr>
        <w:widowControl/>
        <w:numPr>
          <w:ilvl w:val="0"/>
          <w:numId w:val="0"/>
        </w:numPr>
        <w:spacing w:line="580" w:lineRule="exact"/>
        <w:ind w:firstLine="640" w:firstLineChars="200"/>
        <w:rPr>
          <w:rFonts w:hint="eastAsia" w:eastAsia="仿宋_GB2312"/>
          <w:b w:val="0"/>
          <w:bCs w:val="0"/>
          <w:sz w:val="32"/>
          <w:szCs w:val="32"/>
          <w:lang w:val="en-US" w:eastAsia="zh-CN"/>
        </w:rPr>
      </w:pPr>
      <w:r>
        <w:rPr>
          <w:rFonts w:hint="eastAsia" w:eastAsia="仿宋_GB2312"/>
          <w:b w:val="0"/>
          <w:bCs w:val="0"/>
          <w:sz w:val="32"/>
          <w:szCs w:val="32"/>
          <w:lang w:eastAsia="zh-CN"/>
        </w:rPr>
        <w:t>（</w:t>
      </w:r>
      <w:r>
        <w:rPr>
          <w:rFonts w:hint="eastAsia" w:eastAsia="仿宋_GB2312"/>
          <w:b w:val="0"/>
          <w:bCs w:val="0"/>
          <w:sz w:val="32"/>
          <w:szCs w:val="32"/>
          <w:lang w:val="en-US" w:eastAsia="zh-CN"/>
        </w:rPr>
        <w:t>1）及时对避雷针接地装置及可燃气体报警、压力表及安全阀等专业设备定期检验，设备检查校验率100%。</w:t>
      </w:r>
    </w:p>
    <w:p>
      <w:pPr>
        <w:widowControl/>
        <w:numPr>
          <w:ilvl w:val="0"/>
          <w:numId w:val="0"/>
        </w:numPr>
        <w:spacing w:line="580" w:lineRule="exact"/>
        <w:ind w:firstLine="640" w:firstLineChars="200"/>
        <w:rPr>
          <w:rFonts w:hint="eastAsia" w:eastAsia="仿宋_GB2312"/>
          <w:b w:val="0"/>
          <w:bCs w:val="0"/>
          <w:sz w:val="32"/>
          <w:szCs w:val="32"/>
          <w:lang w:eastAsia="zh-CN"/>
        </w:rPr>
      </w:pPr>
      <w:r>
        <w:rPr>
          <w:rFonts w:hint="eastAsia" w:eastAsia="仿宋_GB2312"/>
          <w:b w:val="0"/>
          <w:bCs w:val="0"/>
          <w:sz w:val="32"/>
          <w:szCs w:val="32"/>
          <w:lang w:val="en-US" w:eastAsia="zh-CN"/>
        </w:rPr>
        <w:t>（2）职工人员定期安全学习。更好的保障安全生产。</w:t>
      </w:r>
    </w:p>
    <w:p>
      <w:pPr>
        <w:widowControl/>
        <w:numPr>
          <w:ilvl w:val="0"/>
          <w:numId w:val="0"/>
        </w:numPr>
        <w:spacing w:line="580" w:lineRule="exact"/>
        <w:ind w:firstLine="320" w:firstLineChars="100"/>
        <w:rPr>
          <w:rFonts w:hint="eastAsia" w:eastAsia="仿宋_GB2312"/>
          <w:b w:val="0"/>
          <w:bCs w:val="0"/>
          <w:sz w:val="32"/>
          <w:szCs w:val="32"/>
          <w:lang w:eastAsia="zh-CN"/>
        </w:rPr>
      </w:pPr>
      <w:r>
        <w:rPr>
          <w:rFonts w:hint="eastAsia" w:eastAsia="仿宋_GB2312"/>
          <w:b w:val="0"/>
          <w:bCs w:val="0"/>
          <w:sz w:val="32"/>
          <w:szCs w:val="32"/>
          <w:lang w:val="en-US" w:eastAsia="zh-CN"/>
        </w:rPr>
        <w:t>(二）</w:t>
      </w:r>
      <w:r>
        <w:rPr>
          <w:rFonts w:hint="eastAsia" w:eastAsia="仿宋_GB2312"/>
          <w:b w:val="0"/>
          <w:bCs w:val="0"/>
          <w:sz w:val="32"/>
          <w:szCs w:val="32"/>
          <w:lang w:eastAsia="zh-CN"/>
        </w:rPr>
        <w:t>预算项目绩效评价开展情况</w:t>
      </w:r>
    </w:p>
    <w:p>
      <w:pPr>
        <w:widowControl/>
        <w:numPr>
          <w:ilvl w:val="0"/>
          <w:numId w:val="0"/>
        </w:numPr>
        <w:spacing w:line="580" w:lineRule="exact"/>
        <w:ind w:leftChars="200" w:firstLine="640" w:firstLineChars="200"/>
        <w:rPr>
          <w:rFonts w:hint="eastAsia" w:eastAsia="仿宋_GB2312"/>
          <w:b w:val="0"/>
          <w:bCs w:val="0"/>
          <w:sz w:val="32"/>
          <w:szCs w:val="32"/>
          <w:lang w:eastAsia="zh-CN"/>
        </w:rPr>
      </w:pPr>
      <w:r>
        <w:rPr>
          <w:rFonts w:hint="eastAsia" w:eastAsia="仿宋_GB2312"/>
          <w:b w:val="0"/>
          <w:bCs w:val="0"/>
          <w:sz w:val="32"/>
          <w:szCs w:val="32"/>
          <w:lang w:eastAsia="zh-CN"/>
        </w:rPr>
        <w:t>根据预算绩效管理要求，本单位组织对2017年度一般公共预算项目支出全面开展绩效自评，涉及大毕村站罐厂地租、压力容器检验费及消防设施等费用和罐厂公众责任和财产综合保险费等</w:t>
      </w:r>
      <w:r>
        <w:rPr>
          <w:rFonts w:hint="eastAsia" w:eastAsia="仿宋_GB2312"/>
          <w:b w:val="0"/>
          <w:bCs w:val="0"/>
          <w:sz w:val="32"/>
          <w:szCs w:val="32"/>
          <w:lang w:val="en-US" w:eastAsia="zh-CN"/>
        </w:rPr>
        <w:t>2</w:t>
      </w:r>
      <w:r>
        <w:rPr>
          <w:rFonts w:hint="eastAsia" w:eastAsia="仿宋_GB2312"/>
          <w:b w:val="0"/>
          <w:bCs w:val="0"/>
          <w:sz w:val="32"/>
          <w:szCs w:val="32"/>
          <w:lang w:eastAsia="zh-CN"/>
        </w:rPr>
        <w:t>个项目，涉及资金</w:t>
      </w:r>
      <w:r>
        <w:rPr>
          <w:rFonts w:hint="eastAsia" w:eastAsia="仿宋_GB2312"/>
          <w:b w:val="0"/>
          <w:bCs w:val="0"/>
          <w:sz w:val="32"/>
          <w:szCs w:val="32"/>
          <w:lang w:val="en-US" w:eastAsia="zh-CN"/>
        </w:rPr>
        <w:t>16.7</w:t>
      </w:r>
      <w:r>
        <w:rPr>
          <w:rFonts w:hint="eastAsia" w:eastAsia="仿宋_GB2312"/>
          <w:b w:val="0"/>
          <w:bCs w:val="0"/>
          <w:sz w:val="32"/>
          <w:szCs w:val="32"/>
          <w:lang w:eastAsia="zh-CN"/>
        </w:rPr>
        <w:t>万元。从评价情况看，评价结果为优秀的项目有</w:t>
      </w:r>
      <w:r>
        <w:rPr>
          <w:rFonts w:hint="eastAsia" w:eastAsia="仿宋_GB2312"/>
          <w:b w:val="0"/>
          <w:bCs w:val="0"/>
          <w:sz w:val="32"/>
          <w:szCs w:val="32"/>
          <w:lang w:val="en-US" w:eastAsia="zh-CN"/>
        </w:rPr>
        <w:t>1</w:t>
      </w:r>
      <w:r>
        <w:rPr>
          <w:rFonts w:hint="eastAsia" w:eastAsia="仿宋_GB2312"/>
          <w:b w:val="0"/>
          <w:bCs w:val="0"/>
          <w:sz w:val="32"/>
          <w:szCs w:val="32"/>
          <w:lang w:eastAsia="zh-CN"/>
        </w:rPr>
        <w:t>个，良好的项目有</w:t>
      </w:r>
      <w:r>
        <w:rPr>
          <w:rFonts w:hint="eastAsia" w:eastAsia="仿宋_GB2312"/>
          <w:b w:val="0"/>
          <w:bCs w:val="0"/>
          <w:sz w:val="32"/>
          <w:szCs w:val="32"/>
          <w:lang w:val="en-US" w:eastAsia="zh-CN"/>
        </w:rPr>
        <w:t>1个</w:t>
      </w:r>
      <w:r>
        <w:rPr>
          <w:rFonts w:hint="eastAsia" w:eastAsia="仿宋_GB2312"/>
          <w:b w:val="0"/>
          <w:bCs w:val="0"/>
          <w:sz w:val="32"/>
          <w:szCs w:val="32"/>
          <w:lang w:eastAsia="zh-CN"/>
        </w:rPr>
        <w:t>。</w:t>
      </w:r>
    </w:p>
    <w:p>
      <w:pPr>
        <w:widowControl/>
        <w:numPr>
          <w:ilvl w:val="0"/>
          <w:numId w:val="0"/>
        </w:numPr>
        <w:spacing w:line="580" w:lineRule="exact"/>
        <w:ind w:leftChars="200"/>
        <w:rPr>
          <w:rFonts w:hint="eastAsia" w:ascii="仿宋_GB2312" w:eastAsia="仿宋_GB2312" w:cs="DengXian-Regular"/>
          <w:b/>
          <w:bCs/>
          <w:sz w:val="32"/>
          <w:szCs w:val="32"/>
        </w:rPr>
      </w:pPr>
      <w:r>
        <w:rPr>
          <w:rFonts w:hint="eastAsia" w:ascii="仿宋_GB2312" w:eastAsia="仿宋_GB2312" w:cs="DengXian-Regular"/>
          <w:b w:val="0"/>
          <w:bCs w:val="0"/>
          <w:sz w:val="32"/>
          <w:szCs w:val="32"/>
          <w:lang w:eastAsia="zh-CN"/>
        </w:rPr>
        <w:t>（三）</w:t>
      </w:r>
      <w:r>
        <w:rPr>
          <w:rFonts w:hint="eastAsia" w:ascii="仿宋_GB2312" w:eastAsia="仿宋_GB2312" w:cs="DengXian-Regular"/>
          <w:b w:val="0"/>
          <w:bCs w:val="0"/>
          <w:sz w:val="32"/>
          <w:szCs w:val="32"/>
        </w:rPr>
        <w:t>预算项目绩效自评选例</w:t>
      </w:r>
    </w:p>
    <w:p>
      <w:pPr>
        <w:widowControl/>
        <w:numPr>
          <w:ilvl w:val="0"/>
          <w:numId w:val="0"/>
        </w:numPr>
        <w:spacing w:line="580" w:lineRule="exact"/>
        <w:ind w:leftChars="200"/>
        <w:rPr>
          <w:rFonts w:hint="eastAsia" w:ascii="仿宋_GB2312" w:eastAsia="仿宋_GB2312" w:cs="DengXian-Regular"/>
          <w:b w:val="0"/>
          <w:bCs w:val="0"/>
          <w:sz w:val="32"/>
          <w:szCs w:val="32"/>
          <w:lang w:val="en-US" w:eastAsia="zh-CN"/>
        </w:rPr>
      </w:pPr>
      <w:r>
        <w:rPr>
          <w:rFonts w:hint="eastAsia" w:ascii="仿宋_GB2312" w:eastAsia="仿宋_GB2312" w:cs="DengXian-Regular"/>
          <w:b/>
          <w:bCs/>
          <w:sz w:val="32"/>
          <w:szCs w:val="32"/>
          <w:lang w:val="en-US" w:eastAsia="zh-CN"/>
        </w:rPr>
        <w:t xml:space="preserve">    </w:t>
      </w:r>
      <w:r>
        <w:rPr>
          <w:rFonts w:hint="eastAsia" w:ascii="仿宋_GB2312" w:eastAsia="仿宋_GB2312" w:cs="DengXian-Regular"/>
          <w:b w:val="0"/>
          <w:bCs w:val="0"/>
          <w:sz w:val="32"/>
          <w:szCs w:val="32"/>
          <w:lang w:val="en-US" w:eastAsia="zh-CN"/>
        </w:rPr>
        <w:t xml:space="preserve"> 本单位无民生项目和重点支出项目。</w:t>
      </w:r>
    </w:p>
    <w:p>
      <w:pPr>
        <w:widowControl/>
        <w:spacing w:line="580" w:lineRule="exact"/>
        <w:ind w:firstLine="2249" w:firstLineChars="700"/>
        <w:rPr>
          <w:rFonts w:eastAsia="仿宋_GB2312"/>
          <w:b/>
          <w:bCs/>
          <w:sz w:val="32"/>
          <w:szCs w:val="32"/>
        </w:rPr>
      </w:pPr>
      <w:r>
        <w:rPr>
          <w:rFonts w:eastAsia="仿宋_GB2312"/>
          <w:b/>
          <w:bCs/>
          <w:sz w:val="32"/>
          <w:szCs w:val="32"/>
        </w:rPr>
        <w:t>七、其他重要事项的说明</w:t>
      </w:r>
    </w:p>
    <w:p>
      <w:pPr>
        <w:widowControl/>
        <w:spacing w:line="580" w:lineRule="exact"/>
        <w:ind w:firstLine="321" w:firstLineChars="100"/>
        <w:rPr>
          <w:rFonts w:eastAsia="仿宋_GB2312"/>
          <w:sz w:val="32"/>
          <w:szCs w:val="32"/>
        </w:rPr>
      </w:pPr>
      <w:r>
        <w:rPr>
          <w:rFonts w:eastAsia="仿宋_GB2312"/>
          <w:b/>
          <w:bCs/>
          <w:sz w:val="32"/>
          <w:szCs w:val="32"/>
        </w:rPr>
        <w:t>1.机关运行经费情况</w:t>
      </w:r>
    </w:p>
    <w:p>
      <w:pPr>
        <w:widowControl/>
        <w:spacing w:line="580" w:lineRule="exact"/>
        <w:ind w:firstLine="320" w:firstLineChars="100"/>
        <w:rPr>
          <w:rFonts w:hint="eastAsia" w:eastAsia="仿宋_GB2312"/>
          <w:sz w:val="32"/>
          <w:szCs w:val="32"/>
          <w:lang w:val="en-US" w:eastAsia="zh-CN"/>
        </w:rPr>
      </w:pPr>
      <w:r>
        <w:rPr>
          <w:rFonts w:hint="eastAsia" w:eastAsia="仿宋_GB2312"/>
          <w:sz w:val="32"/>
          <w:szCs w:val="32"/>
          <w:lang w:eastAsia="zh-CN"/>
        </w:rPr>
        <w:t>本单位无机关运行经费</w:t>
      </w:r>
    </w:p>
    <w:p>
      <w:pPr>
        <w:widowControl/>
        <w:numPr>
          <w:ilvl w:val="0"/>
          <w:numId w:val="0"/>
        </w:numPr>
        <w:spacing w:line="580" w:lineRule="exact"/>
        <w:ind w:firstLine="321" w:firstLineChars="100"/>
        <w:rPr>
          <w:rFonts w:eastAsia="仿宋_GB2312"/>
          <w:sz w:val="32"/>
          <w:szCs w:val="32"/>
        </w:rPr>
      </w:pPr>
      <w:r>
        <w:rPr>
          <w:rFonts w:hint="eastAsia" w:eastAsia="仿宋_GB2312"/>
          <w:b/>
          <w:bCs/>
          <w:sz w:val="32"/>
          <w:szCs w:val="32"/>
          <w:lang w:val="en-US" w:eastAsia="zh-CN"/>
        </w:rPr>
        <w:t>2.</w:t>
      </w:r>
      <w:r>
        <w:rPr>
          <w:rFonts w:eastAsia="仿宋_GB2312"/>
          <w:b/>
          <w:bCs/>
          <w:sz w:val="32"/>
          <w:szCs w:val="32"/>
        </w:rPr>
        <w:t>政府采购情况</w:t>
      </w:r>
    </w:p>
    <w:p>
      <w:pPr>
        <w:widowControl/>
        <w:spacing w:line="580" w:lineRule="exact"/>
        <w:ind w:firstLine="640" w:firstLineChars="200"/>
        <w:rPr>
          <w:rFonts w:hint="eastAsia" w:eastAsia="仿宋_GB2312"/>
          <w:sz w:val="32"/>
          <w:szCs w:val="32"/>
          <w:lang w:val="en-US" w:eastAsia="zh-CN"/>
        </w:rPr>
      </w:pPr>
      <w:r>
        <w:rPr>
          <w:rFonts w:hint="eastAsia" w:eastAsia="仿宋_GB2312"/>
          <w:sz w:val="32"/>
          <w:szCs w:val="32"/>
          <w:lang w:eastAsia="zh-CN"/>
        </w:rPr>
        <w:t>本单位</w:t>
      </w:r>
      <w:r>
        <w:rPr>
          <w:rFonts w:hint="eastAsia" w:eastAsia="仿宋_GB2312"/>
          <w:sz w:val="32"/>
          <w:szCs w:val="32"/>
          <w:lang w:val="en-US" w:eastAsia="zh-CN"/>
        </w:rPr>
        <w:t>2017年度</w:t>
      </w:r>
      <w:r>
        <w:rPr>
          <w:rFonts w:hint="eastAsia" w:eastAsia="仿宋_GB2312"/>
          <w:sz w:val="32"/>
          <w:szCs w:val="32"/>
          <w:lang w:eastAsia="zh-CN"/>
        </w:rPr>
        <w:t>未发生政府采购经费支出，较</w:t>
      </w:r>
      <w:r>
        <w:rPr>
          <w:rFonts w:hint="eastAsia" w:eastAsia="仿宋_GB2312"/>
          <w:sz w:val="32"/>
          <w:szCs w:val="32"/>
          <w:lang w:val="en-US" w:eastAsia="zh-CN"/>
        </w:rPr>
        <w:t>2016年度决算无增减变化。</w:t>
      </w:r>
    </w:p>
    <w:p>
      <w:pPr>
        <w:widowControl/>
        <w:numPr>
          <w:ilvl w:val="0"/>
          <w:numId w:val="0"/>
        </w:numPr>
        <w:spacing w:line="580" w:lineRule="exact"/>
        <w:ind w:leftChars="420"/>
        <w:jc w:val="left"/>
        <w:rPr>
          <w:rFonts w:eastAsia="仿宋_GB2312"/>
          <w:b/>
          <w:bCs/>
          <w:sz w:val="32"/>
          <w:szCs w:val="32"/>
        </w:rPr>
      </w:pPr>
      <w:r>
        <w:rPr>
          <w:rFonts w:hint="eastAsia" w:eastAsia="仿宋_GB2312"/>
          <w:b/>
          <w:bCs/>
          <w:sz w:val="32"/>
          <w:szCs w:val="32"/>
          <w:lang w:val="en-US" w:eastAsia="zh-CN"/>
        </w:rPr>
        <w:t>3.</w:t>
      </w:r>
      <w:r>
        <w:rPr>
          <w:rFonts w:eastAsia="仿宋_GB2312"/>
          <w:b/>
          <w:bCs/>
          <w:sz w:val="32"/>
          <w:szCs w:val="32"/>
        </w:rPr>
        <w:t>国有资产占用情况</w:t>
      </w:r>
    </w:p>
    <w:p>
      <w:pPr>
        <w:adjustRightInd w:val="0"/>
        <w:snapToGrid w:val="0"/>
        <w:spacing w:after="0" w:line="560" w:lineRule="exact"/>
        <w:ind w:firstLine="640" w:firstLineChars="200"/>
        <w:rPr>
          <w:rFonts w:eastAsia="仿宋_GB2312"/>
          <w:sz w:val="32"/>
          <w:szCs w:val="32"/>
        </w:rPr>
      </w:pPr>
      <w:r>
        <w:rPr>
          <w:rFonts w:hint="eastAsia" w:ascii="仿宋_GB2312" w:eastAsia="仿宋_GB2312" w:cs="DengXian-Regular"/>
          <w:sz w:val="32"/>
          <w:szCs w:val="32"/>
        </w:rPr>
        <w:t>截至201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年12月31日，本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共有车辆</w:t>
      </w:r>
      <w:r>
        <w:rPr>
          <w:rFonts w:hint="eastAsia" w:ascii="仿宋_GB2312" w:eastAsia="仿宋_GB2312" w:cs="DengXian-Regular"/>
          <w:sz w:val="32"/>
          <w:szCs w:val="32"/>
          <w:lang w:val="en-US" w:eastAsia="zh-CN"/>
        </w:rPr>
        <w:t>3</w:t>
      </w:r>
      <w:r>
        <w:rPr>
          <w:rFonts w:hint="eastAsia" w:ascii="仿宋_GB2312" w:eastAsia="仿宋_GB2312" w:cs="DengXian-Regular"/>
          <w:sz w:val="32"/>
          <w:szCs w:val="32"/>
        </w:rPr>
        <w:t>辆，其中，一般公务用车</w:t>
      </w: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辆、其他用车</w:t>
      </w:r>
      <w:r>
        <w:rPr>
          <w:rFonts w:hint="eastAsia" w:ascii="仿宋_GB2312" w:eastAsia="仿宋_GB2312" w:cs="DengXian-Regular"/>
          <w:sz w:val="32"/>
          <w:szCs w:val="32"/>
          <w:lang w:val="en-US" w:eastAsia="zh-CN"/>
        </w:rPr>
        <w:t>1</w:t>
      </w:r>
      <w:r>
        <w:rPr>
          <w:rFonts w:hint="eastAsia" w:ascii="仿宋_GB2312" w:eastAsia="仿宋_GB2312" w:cs="DengXian-Regular"/>
          <w:sz w:val="32"/>
          <w:szCs w:val="32"/>
        </w:rPr>
        <w:t>辆，其他用车主要</w:t>
      </w:r>
      <w:r>
        <w:rPr>
          <w:rFonts w:hint="eastAsia" w:ascii="仿宋_GB2312" w:eastAsia="仿宋_GB2312" w:cs="DengXian-Regular"/>
          <w:sz w:val="32"/>
          <w:szCs w:val="32"/>
          <w:lang w:eastAsia="zh-CN"/>
        </w:rPr>
        <w:t>用于大毕村站和牛坡山站点的液化气运输工作</w:t>
      </w:r>
      <w:r>
        <w:rPr>
          <w:rFonts w:hint="eastAsia" w:ascii="仿宋_GB2312" w:eastAsia="仿宋_GB2312" w:cs="DengXian-Regular"/>
          <w:sz w:val="32"/>
          <w:szCs w:val="32"/>
        </w:rPr>
        <w:t>；单位价值</w:t>
      </w:r>
      <w:r>
        <w:rPr>
          <w:rFonts w:hint="eastAsia" w:ascii="仿宋_GB2312" w:hAnsi="TimesNewRomanPSMT" w:eastAsia="仿宋_GB2312" w:cs="TimesNewRomanPSMT"/>
          <w:sz w:val="32"/>
          <w:szCs w:val="32"/>
        </w:rPr>
        <w:t>50</w:t>
      </w:r>
      <w:r>
        <w:rPr>
          <w:rFonts w:hint="eastAsia" w:ascii="仿宋_GB2312" w:eastAsia="仿宋_GB2312" w:cs="DengXian-Regular"/>
          <w:sz w:val="32"/>
          <w:szCs w:val="32"/>
        </w:rPr>
        <w:t>万元以上大型设备</w:t>
      </w: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台（套）。</w:t>
      </w:r>
    </w:p>
    <w:p>
      <w:pPr>
        <w:widowControl/>
        <w:numPr>
          <w:ilvl w:val="0"/>
          <w:numId w:val="0"/>
        </w:numPr>
        <w:spacing w:line="580" w:lineRule="exact"/>
        <w:ind w:leftChars="420"/>
        <w:rPr>
          <w:rFonts w:eastAsia="仿宋_GB2312"/>
          <w:b/>
          <w:bCs/>
          <w:sz w:val="32"/>
          <w:szCs w:val="32"/>
        </w:rPr>
      </w:pPr>
      <w:r>
        <w:rPr>
          <w:rFonts w:hint="eastAsia" w:eastAsia="仿宋_GB2312"/>
          <w:b/>
          <w:bCs/>
          <w:sz w:val="32"/>
          <w:szCs w:val="32"/>
          <w:lang w:val="en-US" w:eastAsia="zh-CN"/>
        </w:rPr>
        <w:t>4.</w:t>
      </w:r>
      <w:r>
        <w:rPr>
          <w:rFonts w:eastAsia="仿宋_GB2312"/>
          <w:b/>
          <w:bCs/>
          <w:sz w:val="32"/>
          <w:szCs w:val="32"/>
        </w:rPr>
        <w:t>其他需要说明的情况</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w:t>
      </w:r>
      <w:r>
        <w:rPr>
          <w:rFonts w:hint="eastAsia" w:ascii="仿宋_GB2312" w:eastAsia="仿宋_GB2312" w:cs="DengXian-Regular"/>
          <w:sz w:val="32"/>
          <w:szCs w:val="32"/>
          <w:lang w:eastAsia="zh-CN"/>
        </w:rPr>
        <w:t>单位</w:t>
      </w: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w:t>
      </w:r>
      <w:r>
        <w:rPr>
          <w:rFonts w:hint="eastAsia" w:ascii="仿宋_GB2312" w:eastAsia="仿宋_GB2312" w:cs="DengXian-Regular"/>
          <w:sz w:val="32"/>
          <w:szCs w:val="32"/>
          <w:lang w:eastAsia="zh-CN"/>
        </w:rPr>
        <w:t>年末</w:t>
      </w:r>
      <w:r>
        <w:rPr>
          <w:rFonts w:hint="eastAsia" w:ascii="仿宋_GB2312" w:eastAsia="仿宋_GB2312" w:cs="DengXian-Regular"/>
          <w:sz w:val="32"/>
          <w:szCs w:val="32"/>
        </w:rPr>
        <w:t>无收支及结转结余情况，故</w:t>
      </w:r>
      <w:r>
        <w:rPr>
          <w:rFonts w:hint="eastAsia" w:ascii="仿宋_GB2312" w:eastAsia="仿宋_GB2312" w:cs="DengXian-Regular"/>
          <w:sz w:val="32"/>
          <w:szCs w:val="32"/>
          <w:lang w:eastAsia="zh-CN"/>
        </w:rPr>
        <w:t>《财政拨款结转和结余情况表》、《年初结转和结余调整情况表》</w:t>
      </w:r>
      <w:r>
        <w:rPr>
          <w:rFonts w:hint="eastAsia" w:ascii="仿宋_GB2312" w:eastAsia="仿宋_GB2312" w:cs="DengXian-Regular"/>
          <w:sz w:val="32"/>
          <w:szCs w:val="32"/>
        </w:rPr>
        <w:t>以空表列示。</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2、由于决算公开表格中金额数值应当保留两位小数，公开数据为四舍五入计算结果，个别数据合计项与分项之和存在小数点后差额，特此说明。</w:t>
      </w:r>
    </w:p>
    <w:p>
      <w:pPr>
        <w:widowControl/>
        <w:spacing w:line="580" w:lineRule="exact"/>
        <w:ind w:firstLine="2560" w:firstLineChars="800"/>
        <w:rPr>
          <w:rFonts w:eastAsia="黑体"/>
          <w:sz w:val="32"/>
          <w:szCs w:val="32"/>
        </w:rPr>
      </w:pPr>
      <w:r>
        <w:rPr>
          <w:rFonts w:eastAsia="黑体"/>
          <w:sz w:val="32"/>
          <w:szCs w:val="32"/>
        </w:rPr>
        <w:t>第四部分  名词解释</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（一）财政拨款收入：本年度从本级财政部门取得的财政拨款，包括一般公共预算财政拨款和政府性基金预算财政拨款。</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（二）事业收入：指事业单位开展专业业务活动及辅助活动所取得的收入。</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（三）其他收入：指除上述“财政拨款收入”、“事业收入”、“经营收入”等以外的收入。</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（五）年初结转和结余：指以前年度尚未完成、结转到本年仍按原规定用途继续使用的资金，或项目已完成等产生的结余资金。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（六）结余分配：指事业单位按照事业单位会计制度的规定从非财政补助结余中分配的事业基金和职工福利基金等。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（七）年末结转和结余：指单位按有关规定结转到下年或以后年度继续使用的资金，或项目已完成等产生的结余资金。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（八）基本支出：填列单位为保障机构正常运转、完成日常工作任务而发生的各项支出。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（九）项目支出：填列单位为完成特定的行政工作任务或事业发展目标，在基本支出之外发生的各项支出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（十一）其他资本性支出：填列由各级非发展与改革部门集中安排的用于购置固定资产、战备性和应急性储备、土地和无形资产，以及购建基础设施、大型修缮和财政支持企业更新改造所发生的支出。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二）“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（十三）其他交通费用：填列单位除公务用车运行维护费以外的其他交通费用。如飞机、船舶等的燃料费、维修费、过桥过路费、保险费、出租车费用、公务交通补贴等。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（十四）公务用车购置：填列单位公务用车车辆购置支出（含车辆购置税）。</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（十五）其他交通工具购置：填列单位除公务用车外的其他各类交通工具（如船舶、飞机）购置支出（含车辆购置税）。</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（十六） 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line="580" w:lineRule="exact"/>
        <w:rPr>
          <w:rFonts w:eastAsia="黑体"/>
          <w:sz w:val="32"/>
          <w:szCs w:val="32"/>
        </w:rPr>
      </w:pPr>
    </w:p>
    <w:p/>
    <w:p/>
    <w:p/>
    <w:p/>
    <w:p/>
    <w:p/>
    <w:p/>
    <w:p/>
    <w:p/>
    <w:p/>
    <w:p/>
    <w:p/>
    <w:p/>
    <w:p/>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TimesNewRomanPSMT">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Malgun Gothic">
    <w:panose1 w:val="020B0503020000020004"/>
    <w:charset w:val="81"/>
    <w:family w:val="auto"/>
    <w:pitch w:val="default"/>
    <w:sig w:usb0="900002AF" w:usb1="01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F4DF23"/>
    <w:multiLevelType w:val="singleLevel"/>
    <w:tmpl w:val="BEF4DF23"/>
    <w:lvl w:ilvl="0" w:tentative="0">
      <w:start w:val="1"/>
      <w:numFmt w:val="chineseCounting"/>
      <w:suff w:val="nothing"/>
      <w:lvlText w:val="（%1）"/>
      <w:lvlJc w:val="left"/>
      <w:rPr>
        <w:rFonts w:hint="eastAsia"/>
      </w:rPr>
    </w:lvl>
  </w:abstractNum>
  <w:abstractNum w:abstractNumId="1">
    <w:nsid w:val="FF4E37F4"/>
    <w:multiLevelType w:val="singleLevel"/>
    <w:tmpl w:val="FF4E37F4"/>
    <w:lvl w:ilvl="0" w:tentative="0">
      <w:start w:val="2"/>
      <w:numFmt w:val="chineseCounting"/>
      <w:suff w:val="nothing"/>
      <w:lvlText w:val="%1、"/>
      <w:lvlJc w:val="left"/>
      <w:rPr>
        <w:rFonts w:hint="eastAsia"/>
      </w:rPr>
    </w:lvl>
  </w:abstractNum>
  <w:abstractNum w:abstractNumId="2">
    <w:nsid w:val="540A8036"/>
    <w:multiLevelType w:val="singleLevel"/>
    <w:tmpl w:val="540A8036"/>
    <w:lvl w:ilvl="0" w:tentative="0">
      <w:start w:val="6"/>
      <w:numFmt w:val="chineseCounting"/>
      <w:suff w:val="nothing"/>
      <w:lvlText w:val="%1、"/>
      <w:lvlJc w:val="left"/>
      <w:rPr>
        <w:rFonts w:hint="eastAsia"/>
      </w:rPr>
    </w:lvl>
  </w:abstractNum>
  <w:abstractNum w:abstractNumId="3">
    <w:nsid w:val="5F786A35"/>
    <w:multiLevelType w:val="singleLevel"/>
    <w:tmpl w:val="5F786A35"/>
    <w:lvl w:ilvl="0" w:tentative="0">
      <w:start w:val="1"/>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413"/>
    <w:rsid w:val="00024E7F"/>
    <w:rsid w:val="000475A0"/>
    <w:rsid w:val="00077F46"/>
    <w:rsid w:val="000E2F81"/>
    <w:rsid w:val="00152FB8"/>
    <w:rsid w:val="001B3410"/>
    <w:rsid w:val="001C030D"/>
    <w:rsid w:val="002C04C4"/>
    <w:rsid w:val="002D08B0"/>
    <w:rsid w:val="00341C8F"/>
    <w:rsid w:val="00391D9D"/>
    <w:rsid w:val="003B6C51"/>
    <w:rsid w:val="003C1413"/>
    <w:rsid w:val="003C549F"/>
    <w:rsid w:val="003D5A16"/>
    <w:rsid w:val="005F4B66"/>
    <w:rsid w:val="00641318"/>
    <w:rsid w:val="0070664B"/>
    <w:rsid w:val="007071B8"/>
    <w:rsid w:val="007414DE"/>
    <w:rsid w:val="007905A9"/>
    <w:rsid w:val="007E5500"/>
    <w:rsid w:val="00840A97"/>
    <w:rsid w:val="008C0149"/>
    <w:rsid w:val="009A1ABE"/>
    <w:rsid w:val="00A35CE0"/>
    <w:rsid w:val="00A44AA4"/>
    <w:rsid w:val="00A61623"/>
    <w:rsid w:val="00A84687"/>
    <w:rsid w:val="00AD3B6E"/>
    <w:rsid w:val="00B56722"/>
    <w:rsid w:val="00C3774E"/>
    <w:rsid w:val="00C87FAB"/>
    <w:rsid w:val="00C91FF7"/>
    <w:rsid w:val="00C94E53"/>
    <w:rsid w:val="00DB35AF"/>
    <w:rsid w:val="00DF5B88"/>
    <w:rsid w:val="00E2595E"/>
    <w:rsid w:val="00E35374"/>
    <w:rsid w:val="00E50C19"/>
    <w:rsid w:val="00E856C9"/>
    <w:rsid w:val="00EB6A8B"/>
    <w:rsid w:val="00EF38C6"/>
    <w:rsid w:val="00FE3DC8"/>
    <w:rsid w:val="05145A2A"/>
    <w:rsid w:val="076E2D63"/>
    <w:rsid w:val="08170A9A"/>
    <w:rsid w:val="0ED056F4"/>
    <w:rsid w:val="0F8979C2"/>
    <w:rsid w:val="10E82DE3"/>
    <w:rsid w:val="13D71E03"/>
    <w:rsid w:val="17661BA3"/>
    <w:rsid w:val="1788033F"/>
    <w:rsid w:val="17F30879"/>
    <w:rsid w:val="182A2634"/>
    <w:rsid w:val="190E3D4E"/>
    <w:rsid w:val="1F2A5662"/>
    <w:rsid w:val="225D0A09"/>
    <w:rsid w:val="23213E31"/>
    <w:rsid w:val="24BC6847"/>
    <w:rsid w:val="283C35D6"/>
    <w:rsid w:val="28D25EE5"/>
    <w:rsid w:val="2E3E01AF"/>
    <w:rsid w:val="312F58BF"/>
    <w:rsid w:val="36175E57"/>
    <w:rsid w:val="36F87C52"/>
    <w:rsid w:val="391D03BB"/>
    <w:rsid w:val="3C8A5E66"/>
    <w:rsid w:val="3DB11B78"/>
    <w:rsid w:val="42276EA3"/>
    <w:rsid w:val="42E525AA"/>
    <w:rsid w:val="442C763C"/>
    <w:rsid w:val="48F773AB"/>
    <w:rsid w:val="49DE2E4A"/>
    <w:rsid w:val="4A9A6931"/>
    <w:rsid w:val="4D523081"/>
    <w:rsid w:val="4D9C0D7D"/>
    <w:rsid w:val="4DC40941"/>
    <w:rsid w:val="52E86701"/>
    <w:rsid w:val="542E001A"/>
    <w:rsid w:val="54644C29"/>
    <w:rsid w:val="5AFD5DAA"/>
    <w:rsid w:val="5E7E1DF4"/>
    <w:rsid w:val="5FFB7903"/>
    <w:rsid w:val="619655B0"/>
    <w:rsid w:val="6481398C"/>
    <w:rsid w:val="6609407E"/>
    <w:rsid w:val="66AF5130"/>
    <w:rsid w:val="6A6C4D43"/>
    <w:rsid w:val="6B794F54"/>
    <w:rsid w:val="6DD22025"/>
    <w:rsid w:val="70AF2B7D"/>
    <w:rsid w:val="73AA4EDF"/>
    <w:rsid w:val="73BD6744"/>
    <w:rsid w:val="73DE1BE2"/>
    <w:rsid w:val="73F24BFC"/>
    <w:rsid w:val="76356590"/>
    <w:rsid w:val="769B130A"/>
    <w:rsid w:val="76E876EE"/>
    <w:rsid w:val="774245EB"/>
    <w:rsid w:val="783938B5"/>
    <w:rsid w:val="79AF4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6">
    <w:name w:val="Balloon Text"/>
    <w:basedOn w:val="1"/>
    <w:link w:val="19"/>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Subtitle"/>
    <w:basedOn w:val="1"/>
    <w:next w:val="1"/>
    <w:link w:val="21"/>
    <w:qFormat/>
    <w:uiPriority w:val="11"/>
    <w:pPr>
      <w:widowControl/>
      <w:spacing w:after="200" w:line="276" w:lineRule="auto"/>
      <w:jc w:val="left"/>
    </w:pPr>
    <w:rPr>
      <w:rFonts w:asciiTheme="majorHAnsi" w:hAnsiTheme="majorHAnsi" w:eastAsiaTheme="majorEastAsia" w:cstheme="majorBidi"/>
      <w:i/>
      <w:iCs/>
      <w:color w:val="F0A22E" w:themeColor="accent1"/>
      <w:spacing w:val="15"/>
      <w:kern w:val="0"/>
      <w:sz w:val="24"/>
      <w14:textFill>
        <w14:solidFill>
          <w14:schemeClr w14:val="accent1"/>
        </w14:solidFill>
      </w14:textFill>
    </w:rPr>
  </w:style>
  <w:style w:type="paragraph" w:styleId="10">
    <w:name w:val="Title"/>
    <w:basedOn w:val="1"/>
    <w:next w:val="1"/>
    <w:link w:val="20"/>
    <w:qFormat/>
    <w:uiPriority w:val="10"/>
    <w:pPr>
      <w:widowControl/>
      <w:pBdr>
        <w:bottom w:val="single" w:color="F0A22E" w:themeColor="accent1" w:sz="8" w:space="4"/>
      </w:pBdr>
      <w:spacing w:after="300"/>
      <w:contextualSpacing/>
      <w:jc w:val="left"/>
    </w:pPr>
    <w:rPr>
      <w:rFonts w:asciiTheme="majorHAnsi" w:hAnsiTheme="majorHAnsi" w:eastAsiaTheme="majorEastAsia" w:cstheme="majorBidi"/>
      <w:color w:val="3B2C24" w:themeColor="text2" w:themeShade="BF"/>
      <w:spacing w:val="5"/>
      <w:kern w:val="28"/>
      <w:sz w:val="52"/>
      <w:szCs w:val="52"/>
    </w:rPr>
  </w:style>
  <w:style w:type="character" w:styleId="12">
    <w:name w:val="FollowedHyperlink"/>
    <w:basedOn w:val="11"/>
    <w:qFormat/>
    <w:uiPriority w:val="0"/>
    <w:rPr>
      <w:color w:val="800080"/>
      <w:u w:val="single"/>
    </w:rPr>
  </w:style>
  <w:style w:type="table" w:styleId="14">
    <w:name w:val="Table Grid"/>
    <w:basedOn w:val="13"/>
    <w:qFormat/>
    <w:uiPriority w:val="1"/>
    <w:pPr>
      <w:spacing w:after="0" w:line="240" w:lineRule="auto"/>
    </w:pPr>
    <w:rPr>
      <w:kern w:val="0"/>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5">
    <w:name w:val="页眉 Char"/>
    <w:basedOn w:val="11"/>
    <w:link w:val="8"/>
    <w:qFormat/>
    <w:uiPriority w:val="99"/>
    <w:rPr>
      <w:sz w:val="18"/>
      <w:szCs w:val="18"/>
    </w:rPr>
  </w:style>
  <w:style w:type="character" w:customStyle="1" w:styleId="16">
    <w:name w:val="页脚 Char"/>
    <w:basedOn w:val="11"/>
    <w:link w:val="7"/>
    <w:qFormat/>
    <w:uiPriority w:val="99"/>
    <w:rPr>
      <w:sz w:val="18"/>
      <w:szCs w:val="18"/>
    </w:rPr>
  </w:style>
  <w:style w:type="paragraph" w:styleId="17">
    <w:name w:val="No Spacing"/>
    <w:link w:val="18"/>
    <w:qFormat/>
    <w:uiPriority w:val="1"/>
    <w:pPr>
      <w:spacing w:after="160" w:line="480" w:lineRule="auto"/>
    </w:pPr>
    <w:rPr>
      <w:rFonts w:asciiTheme="minorHAnsi" w:hAnsiTheme="minorHAnsi" w:eastAsiaTheme="minorEastAsia" w:cstheme="minorBidi"/>
      <w:kern w:val="0"/>
      <w:sz w:val="22"/>
      <w:szCs w:val="22"/>
      <w:lang w:val="en-US" w:eastAsia="zh-CN" w:bidi="ar-SA"/>
    </w:rPr>
  </w:style>
  <w:style w:type="character" w:customStyle="1" w:styleId="18">
    <w:name w:val="无间隔 Char"/>
    <w:basedOn w:val="11"/>
    <w:link w:val="17"/>
    <w:qFormat/>
    <w:uiPriority w:val="1"/>
    <w:rPr>
      <w:kern w:val="0"/>
      <w:sz w:val="22"/>
    </w:rPr>
  </w:style>
  <w:style w:type="character" w:customStyle="1" w:styleId="19">
    <w:name w:val="批注框文本 Char"/>
    <w:basedOn w:val="11"/>
    <w:link w:val="6"/>
    <w:semiHidden/>
    <w:qFormat/>
    <w:uiPriority w:val="99"/>
    <w:rPr>
      <w:rFonts w:ascii="Times New Roman" w:hAnsi="Times New Roman" w:eastAsia="宋体" w:cs="Times New Roman"/>
      <w:sz w:val="18"/>
      <w:szCs w:val="18"/>
    </w:rPr>
  </w:style>
  <w:style w:type="character" w:customStyle="1" w:styleId="20">
    <w:name w:val="标题 Char"/>
    <w:basedOn w:val="11"/>
    <w:link w:val="10"/>
    <w:qFormat/>
    <w:uiPriority w:val="10"/>
    <w:rPr>
      <w:rFonts w:asciiTheme="majorHAnsi" w:hAnsiTheme="majorHAnsi" w:eastAsiaTheme="majorEastAsia" w:cstheme="majorBidi"/>
      <w:color w:val="3B2C24" w:themeColor="text2" w:themeShade="BF"/>
      <w:spacing w:val="5"/>
      <w:kern w:val="28"/>
      <w:sz w:val="52"/>
      <w:szCs w:val="52"/>
    </w:rPr>
  </w:style>
  <w:style w:type="character" w:customStyle="1" w:styleId="21">
    <w:name w:val="副标题 Char"/>
    <w:basedOn w:val="11"/>
    <w:link w:val="9"/>
    <w:qFormat/>
    <w:uiPriority w:val="11"/>
    <w:rPr>
      <w:rFonts w:asciiTheme="majorHAnsi" w:hAnsiTheme="majorHAnsi" w:eastAsiaTheme="majorEastAsia" w:cstheme="majorBidi"/>
      <w:i/>
      <w:iCs/>
      <w:color w:val="F0A22E" w:themeColor="accent1"/>
      <w:spacing w:val="15"/>
      <w:kern w:val="0"/>
      <w:sz w:val="24"/>
      <w:szCs w:val="24"/>
      <w14:textFill>
        <w14:solidFill>
          <w14:schemeClr w14:val="accent1"/>
        </w14:solidFill>
      </w14:textFill>
    </w:rPr>
  </w:style>
  <w:style w:type="character" w:customStyle="1" w:styleId="22">
    <w:name w:val="Style1"/>
    <w:basedOn w:val="11"/>
    <w:qFormat/>
    <w:uiPriority w:val="1"/>
    <w:rPr>
      <w:rFonts w:asciiTheme="minorHAnsi" w:hAnsiTheme="minorEastAsia" w:eastAsiaTheme="minorEastAsia" w:cstheme="minorBidi"/>
      <w:sz w:val="22"/>
      <w:szCs w:val="22"/>
      <w:lang w:eastAsia="zh-CN"/>
    </w:rPr>
  </w:style>
  <w:style w:type="character" w:customStyle="1" w:styleId="23">
    <w:name w:val="Style2"/>
    <w:basedOn w:val="11"/>
    <w:qFormat/>
    <w:uiPriority w:val="1"/>
    <w:rPr>
      <w:rFonts w:asciiTheme="minorHAnsi" w:hAnsiTheme="minorEastAsia" w:eastAsiaTheme="minorEastAsia" w:cstheme="minorBidi"/>
      <w:sz w:val="22"/>
      <w:szCs w:val="22"/>
      <w:lang w:eastAsia="zh-CN"/>
    </w:rPr>
  </w:style>
  <w:style w:type="character" w:customStyle="1" w:styleId="24">
    <w:name w:val="Style3"/>
    <w:basedOn w:val="11"/>
    <w:uiPriority w:val="1"/>
    <w:rPr>
      <w:rFonts w:asciiTheme="minorHAnsi" w:hAnsiTheme="minorEastAsia" w:eastAsiaTheme="minorEastAsia" w:cstheme="minorBidi"/>
      <w:szCs w:val="22"/>
      <w:lang w:eastAsia="zh-CN"/>
    </w:rPr>
  </w:style>
  <w:style w:type="character" w:customStyle="1" w:styleId="25">
    <w:name w:val="Style4"/>
    <w:basedOn w:val="11"/>
    <w:qFormat/>
    <w:uiPriority w:val="1"/>
    <w:rPr>
      <w:rFonts w:asciiTheme="minorHAnsi" w:hAnsiTheme="minorEastAsia" w:eastAsiaTheme="minorEastAsia" w:cstheme="minorBidi"/>
      <w:szCs w:val="22"/>
      <w:lang w:eastAsia="zh-CN"/>
    </w:rPr>
  </w:style>
  <w:style w:type="character" w:customStyle="1" w:styleId="26">
    <w:name w:val="Style5"/>
    <w:basedOn w:val="11"/>
    <w:uiPriority w:val="1"/>
    <w:rPr>
      <w:rFonts w:asciiTheme="minorHAnsi" w:hAnsiTheme="minorEastAsia" w:eastAsiaTheme="minorEastAsia" w:cstheme="minorBidi"/>
      <w:sz w:val="22"/>
      <w:szCs w:val="22"/>
      <w:lang w:eastAsia="zh-CN"/>
    </w:rPr>
  </w:style>
  <w:style w:type="character" w:customStyle="1" w:styleId="27">
    <w:name w:val="标题 1 Char"/>
    <w:basedOn w:val="11"/>
    <w:link w:val="2"/>
    <w:uiPriority w:val="9"/>
    <w:rPr>
      <w:rFonts w:ascii="Times New Roman" w:hAnsi="Times New Roman" w:eastAsia="宋体" w:cs="Times New Roman"/>
      <w:b/>
      <w:bCs/>
      <w:kern w:val="44"/>
      <w:sz w:val="44"/>
      <w:szCs w:val="44"/>
    </w:rPr>
  </w:style>
  <w:style w:type="character" w:customStyle="1" w:styleId="28">
    <w:name w:val="标题 2 Char"/>
    <w:basedOn w:val="11"/>
    <w:link w:val="3"/>
    <w:qFormat/>
    <w:uiPriority w:val="9"/>
    <w:rPr>
      <w:rFonts w:asciiTheme="majorHAnsi" w:hAnsiTheme="majorHAnsi" w:eastAsiaTheme="majorEastAsia" w:cstheme="majorBidi"/>
      <w:b/>
      <w:bCs/>
      <w:sz w:val="32"/>
      <w:szCs w:val="32"/>
    </w:rPr>
  </w:style>
  <w:style w:type="character" w:customStyle="1" w:styleId="29">
    <w:name w:val="标题 3 Char"/>
    <w:basedOn w:val="11"/>
    <w:link w:val="4"/>
    <w:uiPriority w:val="9"/>
    <w:rPr>
      <w:rFonts w:ascii="Times New Roman" w:hAnsi="Times New Roman" w:eastAsia="宋体" w:cs="Times New Roman"/>
      <w:b/>
      <w:bCs/>
      <w:sz w:val="32"/>
      <w:szCs w:val="32"/>
    </w:rPr>
  </w:style>
  <w:style w:type="character" w:customStyle="1" w:styleId="30">
    <w:name w:val="标题 4 Char"/>
    <w:basedOn w:val="11"/>
    <w:link w:val="5"/>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2017年度收入</c:v>
                </c:pt>
              </c:strCache>
            </c:strRef>
          </c:tx>
          <c:spPr/>
          <c:explosion val="0"/>
          <c:dPt>
            <c:idx val="0"/>
            <c:bubble3D val="0"/>
            <c:spPr>
              <a:solidFill>
                <a:srgbClr val="00B0F0"/>
              </a:solidFill>
              <a:ln w="19050">
                <a:solidFill>
                  <a:schemeClr val="lt1"/>
                </a:solidFill>
              </a:ln>
              <a:effectLst/>
            </c:spPr>
          </c:dPt>
          <c:dPt>
            <c:idx val="1"/>
            <c:bubble3D val="0"/>
            <c:explosion val="1"/>
            <c:spPr>
              <a:solidFill>
                <a:srgbClr val="C00000"/>
              </a:solidFill>
              <a:ln w="19050">
                <a:solidFill>
                  <a:schemeClr val="lt1"/>
                </a:solidFill>
              </a:ln>
              <a:effectLst/>
            </c:spPr>
          </c:dPt>
          <c:dPt>
            <c:idx val="2"/>
            <c:bubble3D val="0"/>
            <c:spPr>
              <a:solidFill>
                <a:schemeClr val="accent3">
                  <a:tint val="100000"/>
                  <a:shade val="100000"/>
                  <a:hueMod val="100000"/>
                  <a:satMod val="100000"/>
                </a:schemeClr>
              </a:solidFill>
              <a:ln w="19050">
                <a:solidFill>
                  <a:schemeClr val="lt1"/>
                </a:solidFill>
              </a:ln>
              <a:effectLst/>
            </c:spPr>
          </c:dPt>
          <c:dPt>
            <c:idx val="3"/>
            <c:bubble3D val="0"/>
            <c:spPr>
              <a:solidFill>
                <a:schemeClr val="accent4">
                  <a:tint val="100000"/>
                  <a:shade val="100000"/>
                  <a:hueMod val="100000"/>
                  <a:satMod val="10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247.44, </a:t>
                    </a:r>
                    <a:r>
                      <a:rPr lang="en-US" altLang="zh-CN"/>
                      <a:t>44.13</a:t>
                    </a:r>
                    <a:r>
                      <a:t>%</a:t>
                    </a:r>
                  </a:p>
                </c:rich>
              </c:tx>
              <c:dLblPos val="inEnd"/>
              <c:showLegendKey val="0"/>
              <c:showVal val="1"/>
              <c:showCatName val="0"/>
              <c:showSerName val="0"/>
              <c:showPercent val="1"/>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304, 54</a:t>
                    </a:r>
                    <a:r>
                      <a:rPr lang="en-US" altLang="zh-CN"/>
                      <a:t>.22</a:t>
                    </a:r>
                    <a:r>
                      <a:t>%</a:t>
                    </a:r>
                  </a:p>
                </c:rich>
              </c:tx>
              <c:dLblPos val="inEnd"/>
              <c:showLegendKey val="0"/>
              <c:showVal val="1"/>
              <c:showCatName val="0"/>
              <c:showSerName val="0"/>
              <c:showPercent val="1"/>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9.22, </a:t>
                    </a:r>
                    <a:r>
                      <a:rPr lang="en-US" altLang="zh-CN"/>
                      <a:t>1.65</a:t>
                    </a:r>
                    <a:r>
                      <a:t>%</a:t>
                    </a:r>
                  </a:p>
                </c:rich>
              </c:tx>
              <c:dLblPos val="inEnd"/>
              <c:showLegendKey val="0"/>
              <c:showVal val="1"/>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财政拨款</c:v>
                </c:pt>
                <c:pt idx="1">
                  <c:v>经营收入</c:v>
                </c:pt>
                <c:pt idx="2">
                  <c:v>其他收入</c:v>
                </c:pt>
              </c:strCache>
            </c:strRef>
          </c:cat>
          <c:val>
            <c:numRef>
              <c:f>Sheet1!$B$2:$B$5</c:f>
              <c:numCache>
                <c:formatCode>General</c:formatCode>
                <c:ptCount val="4"/>
                <c:pt idx="0">
                  <c:v>247.44</c:v>
                </c:pt>
                <c:pt idx="1">
                  <c:v>304</c:v>
                </c:pt>
                <c:pt idx="2">
                  <c:v>9.22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2017年度支出</c:v>
                </c:pt>
              </c:strCache>
            </c:strRef>
          </c:tx>
          <c:spPr/>
          <c:explosion val="0"/>
          <c:dPt>
            <c:idx val="0"/>
            <c:bubble3D val="0"/>
            <c:spPr>
              <a:solidFill>
                <a:srgbClr val="C00000"/>
              </a:solidFill>
              <a:ln w="19050">
                <a:solidFill>
                  <a:schemeClr val="lt1"/>
                </a:solidFill>
              </a:ln>
              <a:effectLst/>
            </c:spPr>
          </c:dPt>
          <c:dPt>
            <c:idx val="1"/>
            <c:bubble3D val="0"/>
            <c:spPr>
              <a:solidFill>
                <a:schemeClr val="accent2">
                  <a:tint val="100000"/>
                  <a:shade val="100000"/>
                  <a:hueMod val="100000"/>
                  <a:satMod val="100000"/>
                </a:schemeClr>
              </a:solidFill>
              <a:ln w="19050">
                <a:solidFill>
                  <a:schemeClr val="lt1"/>
                </a:solidFill>
              </a:ln>
              <a:effectLst/>
            </c:spPr>
          </c:dPt>
          <c:dPt>
            <c:idx val="2"/>
            <c:bubble3D val="0"/>
            <c:explosion val="1"/>
            <c:spPr>
              <a:solidFill>
                <a:srgbClr val="00B0F0"/>
              </a:solidFill>
              <a:ln w="19050">
                <a:solidFill>
                  <a:schemeClr val="lt1"/>
                </a:solidFill>
              </a:ln>
              <a:effectLst/>
            </c:spPr>
          </c:dPt>
          <c:dPt>
            <c:idx val="3"/>
            <c:bubble3D val="0"/>
            <c:spPr>
              <a:solidFill>
                <a:schemeClr val="accent4">
                  <a:tint val="100000"/>
                  <a:shade val="100000"/>
                  <a:hueMod val="100000"/>
                  <a:satMod val="10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239.97, 4</a:t>
                    </a:r>
                    <a:r>
                      <a:rPr lang="en-US" altLang="zh-CN"/>
                      <a:t>2.8</a:t>
                    </a:r>
                    <a:r>
                      <a:t>%</a:t>
                    </a:r>
                  </a:p>
                </c:rich>
              </c:tx>
              <c:dLblPos val="outEnd"/>
              <c:showLegendKey val="0"/>
              <c:showVal val="1"/>
              <c:showCatName val="0"/>
              <c:showSerName val="0"/>
              <c:showPercent val="1"/>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16.7, </a:t>
                    </a:r>
                    <a:r>
                      <a:rPr lang="en-US" altLang="zh-CN"/>
                      <a:t>2.98</a:t>
                    </a:r>
                    <a:r>
                      <a:t>%</a:t>
                    </a:r>
                  </a:p>
                </c:rich>
              </c:tx>
              <c:dLblPos val="outEnd"/>
              <c:showLegendKey val="0"/>
              <c:showVal val="1"/>
              <c:showCatName val="0"/>
              <c:showSerName val="0"/>
              <c:showPercent val="1"/>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304, 54</a:t>
                    </a:r>
                    <a:r>
                      <a:rPr lang="en-US" altLang="zh-CN"/>
                      <a:t>.22</a:t>
                    </a:r>
                    <a:r>
                      <a:t>%</a:t>
                    </a:r>
                  </a:p>
                </c:rich>
              </c:tx>
              <c:dLblPos val="outEnd"/>
              <c:showLegendKey val="0"/>
              <c:showVal val="1"/>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基本支出</c:v>
                </c:pt>
                <c:pt idx="1">
                  <c:v>项目支出</c:v>
                </c:pt>
                <c:pt idx="2">
                  <c:v>经营支出</c:v>
                </c:pt>
              </c:strCache>
            </c:strRef>
          </c:cat>
          <c:val>
            <c:numRef>
              <c:f>Sheet1!$B$2:$B$5</c:f>
              <c:numCache>
                <c:formatCode>General</c:formatCode>
                <c:ptCount val="4"/>
                <c:pt idx="0">
                  <c:v>239.97</c:v>
                </c:pt>
                <c:pt idx="1">
                  <c:v>16.7</c:v>
                </c:pt>
                <c:pt idx="2">
                  <c:v>304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跋涉">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凤舞九天">
      <a:fillStyleLst>
        <a:solidFill>
          <a:schemeClr val="phClr">
            <a:tint val="100000"/>
            <a:shade val="100000"/>
            <a:hueMod val="100000"/>
            <a:satMod val="100000"/>
          </a:schemeClr>
        </a:solidFill>
        <a:gradFill rotWithShape="1">
          <a:gsLst>
            <a:gs pos="0">
              <a:schemeClr val="phClr">
                <a:tint val="65000"/>
                <a:satMod val="180000"/>
              </a:schemeClr>
            </a:gs>
            <a:gs pos="50000">
              <a:schemeClr val="phClr">
                <a:tint val="40000"/>
                <a:satMod val="175000"/>
              </a:schemeClr>
            </a:gs>
            <a:gs pos="100000">
              <a:schemeClr val="phClr">
                <a:tint val="65000"/>
                <a:satMod val="180000"/>
              </a:schemeClr>
            </a:gs>
          </a:gsLst>
          <a:lin ang="0" scaled="1"/>
        </a:gradFill>
        <a:gradFill rotWithShape="1">
          <a:gsLst>
            <a:gs pos="0">
              <a:schemeClr val="phClr">
                <a:shade val="38000"/>
                <a:satMod val="150000"/>
              </a:schemeClr>
            </a:gs>
            <a:gs pos="50000">
              <a:schemeClr val="phClr">
                <a:shade val="100000"/>
                <a:satMod val="100000"/>
              </a:schemeClr>
            </a:gs>
            <a:gs pos="100000">
              <a:schemeClr val="phClr">
                <a:shade val="38000"/>
                <a:satMod val="150000"/>
              </a:schemeClr>
            </a:gs>
          </a:gsLst>
          <a:lin ang="0" scaled="1"/>
        </a:grad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overPageProperties xmlns="http://schemas.microsoft.com/office/2006/coverPageProps">
  <PublishDate>2017</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EA7F8D78-4C9B-4DB6-B8D7-8EAC9BC9478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820</Words>
  <Characters>4675</Characters>
  <Lines>38</Lines>
  <Paragraphs>10</Paragraphs>
  <TotalTime>1</TotalTime>
  <ScaleCrop>false</ScaleCrop>
  <LinksUpToDate>false</LinksUpToDate>
  <CharactersWithSpaces>5485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2018-08-29T08:38:00Z</dcterms:created>
  <dc:creator>User</dc:creator>
  <cp:lastModifiedBy>fz</cp:lastModifiedBy>
  <dcterms:modified xsi:type="dcterms:W3CDTF">2019-02-02T07:28:36Z</dcterms:modified>
  <dc:subject>石家庄市xxx部门</dc:subject>
  <dc:title>2017年度部门决算</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