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sz w:val="72"/>
          <w:szCs w:val="72"/>
          <w14:shadow w14:blurRad="60007" w14:dist="200025" w14:dir="15000000" w14:sx="100000" w14:sy="30000" w14:kx="-1800000" w14:ky="0" w14:algn="bl">
            <w14:srgbClr w14:val="000000">
              <w14:alpha w14:val="68000"/>
            </w14:srgbClr>
          </w14:shadow>
        </w:rPr>
      </w:pPr>
    </w:p>
    <w:p>
      <w:pPr>
        <w:widowControl/>
        <w:jc w:val="center"/>
        <w:rPr>
          <w:rFonts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pPr>
      <w:r>
        <w:rPr>
          <w:rFonts w:hint="eastAsia"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t>2017年度部门决算公开</w: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hint="eastAsia" w:ascii="宋体" w:hAnsi="宋体" w:eastAsia="宋体"/>
          <w:b/>
          <w:sz w:val="44"/>
          <w:szCs w:val="44"/>
          <w:lang w:eastAsia="zh-CN"/>
        </w:rPr>
      </w:pPr>
      <w:r>
        <w:rPr>
          <w:rFonts w:hint="eastAsia" w:ascii="宋体" w:hAnsi="宋体"/>
          <w:b/>
          <w:sz w:val="44"/>
          <w:szCs w:val="44"/>
        </w:rPr>
        <w:t>石家庄市</w:t>
      </w:r>
      <w:r>
        <w:rPr>
          <w:rFonts w:hint="eastAsia" w:ascii="宋体" w:hAnsi="宋体"/>
          <w:b/>
          <w:sz w:val="44"/>
          <w:szCs w:val="44"/>
          <w:lang w:eastAsia="zh-CN"/>
        </w:rPr>
        <w:t>鹿泉区石柏公园管理处</w:t>
      </w:r>
    </w:p>
    <w:p>
      <w:pPr>
        <w:widowControl/>
        <w:jc w:val="center"/>
        <w:rPr>
          <w:rFonts w:ascii="宋体" w:hAnsi="宋体"/>
          <w:b/>
          <w:sz w:val="44"/>
          <w:szCs w:val="44"/>
        </w:rPr>
      </w:pPr>
      <w:r>
        <w:rPr>
          <w:rFonts w:hint="eastAsia" w:ascii="宋体" w:hAnsi="宋体"/>
          <w:b/>
          <w:sz w:val="44"/>
          <w:szCs w:val="44"/>
        </w:rPr>
        <w:t>2018年9月</w:t>
      </w:r>
      <w:r>
        <w:rPr>
          <w:rFonts w:hint="eastAsia" w:ascii="宋体" w:hAnsi="宋体"/>
          <w:b/>
          <w:sz w:val="44"/>
          <w:szCs w:val="44"/>
          <w:lang w:val="en-US" w:eastAsia="zh-CN"/>
        </w:rPr>
        <w:t>3</w:t>
      </w:r>
      <w:r>
        <w:rPr>
          <w:rFonts w:hint="eastAsia" w:ascii="宋体" w:hAnsi="宋体"/>
          <w:b/>
          <w:sz w:val="44"/>
          <w:szCs w:val="44"/>
        </w:rPr>
        <w:t>日</w:t>
      </w:r>
    </w:p>
    <w:p>
      <w:pPr>
        <w:widowControl/>
        <w:spacing w:line="580" w:lineRule="exact"/>
        <w:jc w:val="center"/>
        <w:rPr>
          <w:rFonts w:eastAsia="方正小标宋_GBK"/>
          <w:sz w:val="44"/>
          <w:szCs w:val="44"/>
        </w:rPr>
      </w:pPr>
    </w:p>
    <w:p>
      <w:pPr>
        <w:widowControl/>
        <w:spacing w:line="580" w:lineRule="exact"/>
        <w:jc w:val="center"/>
        <w:rPr>
          <w:rFonts w:hint="eastAsia" w:ascii="黑体" w:eastAsia="黑体"/>
          <w:sz w:val="44"/>
          <w:szCs w:val="44"/>
        </w:rPr>
      </w:pPr>
    </w:p>
    <w:p>
      <w:pPr>
        <w:widowControl/>
        <w:spacing w:line="580" w:lineRule="exact"/>
        <w:jc w:val="center"/>
        <w:rPr>
          <w:rFonts w:ascii="黑体" w:eastAsia="黑体"/>
          <w:sz w:val="44"/>
          <w:szCs w:val="44"/>
        </w:rPr>
      </w:pPr>
      <w:r>
        <w:rPr>
          <w:rFonts w:hint="eastAsia" w:ascii="黑体" w:eastAsia="黑体"/>
          <w:sz w:val="44"/>
          <w:szCs w:val="44"/>
        </w:rPr>
        <w:t>部门决算公开目录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 xml:space="preserve">第一部分   </w:t>
      </w:r>
      <w:r>
        <w:rPr>
          <w:rFonts w:hint="eastAsia" w:eastAsia="黑体"/>
          <w:sz w:val="32"/>
          <w:szCs w:val="32"/>
          <w:lang w:eastAsia="zh-CN"/>
        </w:rPr>
        <w:t>石柏公园单位</w:t>
      </w:r>
      <w:r>
        <w:rPr>
          <w:rFonts w:eastAsia="黑体"/>
          <w:sz w:val="32"/>
          <w:szCs w:val="32"/>
        </w:rPr>
        <w:t>概况</w:t>
      </w:r>
      <w:r>
        <w:rPr>
          <w:rFonts w:hint="eastAsia" w:eastAsia="仿宋_GB2312"/>
          <w:sz w:val="24"/>
          <w:szCs w:val="32"/>
        </w:rPr>
        <w:t xml:space="preserve">  </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二、部门决算单位构成</w:t>
      </w:r>
    </w:p>
    <w:p>
      <w:pPr>
        <w:widowControl/>
        <w:spacing w:line="580" w:lineRule="exact"/>
        <w:ind w:firstLine="640" w:firstLineChars="200"/>
        <w:rPr>
          <w:rFonts w:eastAsia="仿宋_GB2312"/>
          <w:sz w:val="20"/>
          <w:szCs w:val="32"/>
        </w:rPr>
      </w:pPr>
      <w:r>
        <w:rPr>
          <w:rFonts w:eastAsia="黑体"/>
          <w:sz w:val="32"/>
          <w:szCs w:val="32"/>
        </w:rPr>
        <w:t xml:space="preserve">第二部分  </w:t>
      </w:r>
      <w:r>
        <w:rPr>
          <w:rFonts w:hint="eastAsia" w:eastAsia="黑体"/>
          <w:sz w:val="32"/>
          <w:szCs w:val="32"/>
          <w:lang w:eastAsia="zh-CN"/>
        </w:rPr>
        <w:t>石柏公园</w:t>
      </w:r>
      <w:r>
        <w:rPr>
          <w:rFonts w:eastAsia="黑体"/>
          <w:sz w:val="32"/>
          <w:szCs w:val="32"/>
        </w:rPr>
        <w:t>2017年度部门决算报表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六、一般公共预算财政拨款基本支出决算经济分类表</w:t>
      </w:r>
    </w:p>
    <w:p>
      <w:pPr>
        <w:widowControl/>
        <w:spacing w:line="580" w:lineRule="exact"/>
        <w:ind w:left="640" w:firstLine="640" w:firstLineChars="200"/>
        <w:rPr>
          <w:rFonts w:eastAsia="仿宋_GB2312"/>
          <w:sz w:val="32"/>
          <w:szCs w:val="32"/>
        </w:rPr>
      </w:pPr>
      <w:r>
        <w:rPr>
          <w:rFonts w:eastAsia="仿宋_GB2312"/>
          <w:sz w:val="32"/>
          <w:szCs w:val="32"/>
        </w:rPr>
        <w:t>七、政府性基金预算财政拨款收入支出决算表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八、国有资本经营预算财政拨款收入支出决算表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九、“三公”经费等相关信息统计表</w:t>
      </w:r>
    </w:p>
    <w:p>
      <w:pPr>
        <w:widowControl/>
        <w:spacing w:line="580" w:lineRule="exact"/>
        <w:ind w:left="640" w:firstLine="640" w:firstLineChars="200"/>
        <w:rPr>
          <w:rFonts w:eastAsia="仿宋_GB2312"/>
          <w:sz w:val="32"/>
          <w:szCs w:val="32"/>
        </w:rPr>
      </w:pPr>
      <w:r>
        <w:rPr>
          <w:rFonts w:eastAsia="仿宋_GB2312"/>
          <w:sz w:val="32"/>
          <w:szCs w:val="32"/>
        </w:rPr>
        <w:t>十、政府采购情况表</w:t>
      </w: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lang w:eastAsia="zh-CN"/>
        </w:rPr>
        <w:t>石柏公园</w:t>
      </w:r>
      <w:r>
        <w:rPr>
          <w:rFonts w:eastAsia="黑体"/>
          <w:sz w:val="32"/>
          <w:szCs w:val="32"/>
        </w:rPr>
        <w:t>2017年部门决算情况说明</w: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五、“三公”经费支出决算情况说明</w:t>
      </w:r>
    </w:p>
    <w:p>
      <w:pPr>
        <w:widowControl/>
        <w:spacing w:line="580" w:lineRule="exact"/>
        <w:ind w:left="640" w:firstLine="640" w:firstLineChars="200"/>
        <w:rPr>
          <w:rFonts w:eastAsia="仿宋_GB2312"/>
          <w:sz w:val="32"/>
          <w:szCs w:val="32"/>
        </w:rPr>
      </w:pPr>
      <w:r>
        <w:rPr>
          <w:rFonts w:eastAsia="仿宋_GB2312"/>
          <w:sz w:val="32"/>
          <w:szCs w:val="32"/>
        </w:rPr>
        <w:t>六、预算绩效管理工作开展情况说明</w:t>
      </w:r>
    </w:p>
    <w:p>
      <w:pPr>
        <w:widowControl/>
        <w:spacing w:line="580" w:lineRule="exact"/>
        <w:ind w:left="640" w:firstLine="640" w:firstLineChars="200"/>
        <w:rPr>
          <w:rFonts w:eastAsia="仿宋_GB2312"/>
          <w:sz w:val="32"/>
          <w:szCs w:val="32"/>
        </w:rPr>
      </w:pPr>
      <w:r>
        <w:rPr>
          <w:rFonts w:eastAsia="仿宋_GB2312"/>
          <w:sz w:val="32"/>
          <w:szCs w:val="32"/>
        </w:rPr>
        <w:t>七、其他重要事项的说明</w:t>
      </w:r>
    </w:p>
    <w:p>
      <w:pPr>
        <w:widowControl/>
        <w:spacing w:line="580" w:lineRule="exact"/>
        <w:ind w:left="640" w:firstLine="1344" w:firstLineChars="420"/>
        <w:rPr>
          <w:rFonts w:eastAsia="仿宋_GB2312"/>
          <w:sz w:val="32"/>
          <w:szCs w:val="32"/>
        </w:rPr>
      </w:pPr>
      <w:r>
        <w:rPr>
          <w:rFonts w:eastAsia="仿宋_GB2312"/>
          <w:sz w:val="32"/>
          <w:szCs w:val="32"/>
        </w:rPr>
        <w:t>1.机关运行经费情况</w:t>
      </w:r>
    </w:p>
    <w:p>
      <w:pPr>
        <w:widowControl/>
        <w:spacing w:line="580" w:lineRule="exact"/>
        <w:ind w:left="640" w:firstLine="1344" w:firstLineChars="420"/>
        <w:rPr>
          <w:rFonts w:eastAsia="仿宋_GB2312"/>
          <w:sz w:val="32"/>
          <w:szCs w:val="32"/>
        </w:rPr>
      </w:pPr>
      <w:r>
        <w:rPr>
          <w:rFonts w:eastAsia="仿宋_GB2312"/>
          <w:sz w:val="32"/>
          <w:szCs w:val="32"/>
        </w:rPr>
        <w:t>2.政府采购情况</w:t>
      </w:r>
    </w:p>
    <w:p>
      <w:pPr>
        <w:widowControl/>
        <w:spacing w:line="580" w:lineRule="exact"/>
        <w:ind w:left="640" w:firstLine="1344" w:firstLineChars="420"/>
        <w:rPr>
          <w:rFonts w:eastAsia="仿宋_GB2312"/>
          <w:sz w:val="32"/>
          <w:szCs w:val="32"/>
        </w:rPr>
      </w:pPr>
      <w:r>
        <w:rPr>
          <w:rFonts w:eastAsia="仿宋_GB2312"/>
          <w:sz w:val="32"/>
          <w:szCs w:val="32"/>
        </w:rPr>
        <w:t>3.国有资产占用情况</w:t>
      </w:r>
    </w:p>
    <w:p>
      <w:pPr>
        <w:widowControl/>
        <w:spacing w:line="580" w:lineRule="exact"/>
        <w:ind w:left="640" w:firstLine="1344" w:firstLineChars="420"/>
        <w:rPr>
          <w:rFonts w:eastAsia="仿宋_GB2312"/>
          <w:sz w:val="32"/>
          <w:szCs w:val="32"/>
        </w:rPr>
      </w:pPr>
      <w:r>
        <w:rPr>
          <w:rFonts w:eastAsia="仿宋_GB2312"/>
          <w:sz w:val="32"/>
          <w:szCs w:val="32"/>
        </w:rPr>
        <w:t>4.其他需要说明的情况</w:t>
      </w:r>
    </w:p>
    <w:p>
      <w:pPr>
        <w:widowControl/>
        <w:spacing w:line="580" w:lineRule="exact"/>
        <w:ind w:firstLine="640" w:firstLineChars="200"/>
        <w:rPr>
          <w:rFonts w:eastAsia="黑体"/>
          <w:sz w:val="32"/>
          <w:szCs w:val="32"/>
        </w:rPr>
      </w:pPr>
      <w:r>
        <w:rPr>
          <w:rFonts w:eastAsia="黑体"/>
          <w:sz w:val="32"/>
          <w:szCs w:val="32"/>
        </w:rPr>
        <w:t>第四部分  名词解释</w:t>
      </w:r>
    </w:p>
    <w:p/>
    <w:p/>
    <w:p/>
    <w:p/>
    <w:p/>
    <w:p>
      <w:pPr>
        <w:pStyle w:val="2"/>
        <w:spacing w:line="560" w:lineRule="exact"/>
        <w:jc w:val="center"/>
        <w:rPr>
          <w:rFonts w:ascii="宋体" w:hAnsi="宋体" w:cs="ArialUnicodeMS"/>
          <w:color w:val="000000"/>
          <w:kern w:val="0"/>
        </w:rPr>
      </w:pPr>
      <w:r>
        <w:rPr>
          <w:rFonts w:hint="eastAsia" w:ascii="宋体" w:hAnsi="宋体" w:cs="ArialUnicodeMS"/>
          <w:color w:val="000000"/>
          <w:kern w:val="0"/>
        </w:rPr>
        <w:t>第一部分 部门概况</w:t>
      </w:r>
    </w:p>
    <w:p>
      <w:pPr>
        <w:pStyle w:val="3"/>
        <w:spacing w:before="0" w:after="0" w:line="560" w:lineRule="exact"/>
        <w:ind w:firstLine="643" w:firstLineChars="200"/>
        <w:rPr>
          <w:rFonts w:ascii="黑体" w:eastAsia="黑体" w:cs="黑体" w:hAnsiTheme="minorHAnsi"/>
          <w:kern w:val="0"/>
        </w:rPr>
      </w:pPr>
      <w:r>
        <w:rPr>
          <w:rFonts w:hint="eastAsia" w:ascii="黑体" w:eastAsia="黑体" w:cs="黑体" w:hAnsiTheme="minorHAnsi"/>
          <w:kern w:val="0"/>
        </w:rPr>
        <w:t>一、部门职责</w:t>
      </w:r>
    </w:p>
    <w:p>
      <w:pPr>
        <w:ind w:firstLine="0" w:firstLineChars="0"/>
        <w:rPr>
          <w:rFonts w:ascii="仿宋" w:hAnsi="仿宋" w:eastAsia="仿宋" w:cs="仿宋"/>
          <w:bCs/>
          <w:sz w:val="32"/>
          <w:szCs w:val="32"/>
        </w:rPr>
      </w:pPr>
      <w:r>
        <w:rPr>
          <w:rFonts w:hint="eastAsia" w:ascii="仿宋" w:hAnsi="仿宋" w:eastAsia="仿宋" w:cs="仿宋"/>
          <w:bCs/>
          <w:sz w:val="32"/>
          <w:szCs w:val="32"/>
        </w:rPr>
        <w:t xml:space="preserve">  </w:t>
      </w:r>
      <w:r>
        <w:rPr>
          <w:rFonts w:hint="eastAsia" w:ascii="仿宋" w:hAnsi="仿宋" w:eastAsia="仿宋" w:cs="仿宋"/>
          <w:bCs/>
          <w:sz w:val="32"/>
          <w:szCs w:val="32"/>
          <w:lang w:val="en-US" w:eastAsia="zh-CN"/>
        </w:rPr>
        <w:t xml:space="preserve">  </w:t>
      </w:r>
      <w:r>
        <w:rPr>
          <w:rFonts w:hint="eastAsia" w:ascii="仿宋" w:hAnsi="仿宋" w:eastAsia="仿宋" w:cs="仿宋"/>
          <w:bCs/>
          <w:sz w:val="32"/>
          <w:szCs w:val="32"/>
        </w:rPr>
        <w:t>石柏公园管理处主要职责为：负责石柏公园及生态文化广场的公园管理、设施维护，养护公园花草、树木、便道等。使各种设施充分发挥其功能，更好为市民提供服务。</w:t>
      </w:r>
    </w:p>
    <w:p>
      <w:pPr>
        <w:autoSpaceDE w:val="0"/>
        <w:autoSpaceDN w:val="0"/>
        <w:adjustRightInd w:val="0"/>
        <w:spacing w:after="0" w:line="560" w:lineRule="exact"/>
        <w:jc w:val="left"/>
        <w:rPr>
          <w:rFonts w:ascii="仿宋_GB2312" w:eastAsia="仿宋_GB2312" w:cs="ArialUnicodeMS" w:hAnsiTheme="minorHAnsi"/>
          <w:kern w:val="0"/>
          <w:sz w:val="32"/>
          <w:szCs w:val="32"/>
        </w:rPr>
      </w:pPr>
    </w:p>
    <w:p>
      <w:pPr>
        <w:pStyle w:val="3"/>
        <w:spacing w:before="0" w:after="0" w:line="560" w:lineRule="exact"/>
        <w:ind w:firstLine="643" w:firstLineChars="200"/>
        <w:rPr>
          <w:rFonts w:ascii="黑体" w:eastAsia="黑体" w:cs="黑体" w:hAnsiTheme="minorHAnsi"/>
          <w:kern w:val="0"/>
        </w:rPr>
      </w:pPr>
      <w:r>
        <w:rPr>
          <w:rFonts w:hint="eastAsia" w:ascii="黑体" w:eastAsia="黑体" w:cs="黑体" w:hAnsiTheme="minorHAnsi"/>
          <w:kern w:val="0"/>
        </w:rPr>
        <w:t>二、部门决算单位构成</w:t>
      </w:r>
    </w:p>
    <w:p>
      <w:pPr>
        <w:autoSpaceDE w:val="0"/>
        <w:autoSpaceDN w:val="0"/>
        <w:adjustRightInd w:val="0"/>
        <w:spacing w:after="0" w:line="560" w:lineRule="exact"/>
        <w:ind w:firstLine="960" w:firstLineChars="300"/>
        <w:jc w:val="left"/>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2017 年度，纳入本部门决算汇编范围的独立核算单位</w:t>
      </w:r>
    </w:p>
    <w:p>
      <w:pPr>
        <w:autoSpaceDE w:val="0"/>
        <w:autoSpaceDN w:val="0"/>
        <w:adjustRightInd w:val="0"/>
        <w:spacing w:after="0" w:line="560" w:lineRule="exact"/>
        <w:jc w:val="left"/>
        <w:rPr>
          <w:rFonts w:hint="eastAsia" w:ascii="仿宋_GB2312" w:eastAsia="仿宋_GB2312" w:cs="ArialUnicodeMS" w:hAnsiTheme="minorHAnsi"/>
          <w:kern w:val="0"/>
          <w:sz w:val="32"/>
          <w:szCs w:val="32"/>
          <w:lang w:eastAsia="zh-CN"/>
        </w:rPr>
      </w:pPr>
      <w:r>
        <w:rPr>
          <w:rFonts w:hint="eastAsia" w:ascii="仿宋_GB2312" w:eastAsia="仿宋_GB2312" w:cs="ArialUnicodeMS" w:hAnsiTheme="minorHAnsi"/>
          <w:kern w:val="0"/>
          <w:sz w:val="32"/>
          <w:szCs w:val="32"/>
        </w:rPr>
        <w:t xml:space="preserve">（以下简称“单位”）共 </w:t>
      </w:r>
      <w:r>
        <w:rPr>
          <w:rFonts w:hint="eastAsia" w:ascii="仿宋_GB2312" w:eastAsia="仿宋_GB2312" w:cs="ArialUnicodeMS" w:hAnsiTheme="minorHAnsi"/>
          <w:kern w:val="0"/>
          <w:sz w:val="32"/>
          <w:szCs w:val="32"/>
          <w:lang w:val="en-US" w:eastAsia="zh-CN"/>
        </w:rPr>
        <w:t>1</w:t>
      </w:r>
      <w:r>
        <w:rPr>
          <w:rFonts w:hint="eastAsia" w:ascii="仿宋_GB2312" w:eastAsia="仿宋_GB2312" w:cs="ArialUnicodeMS" w:hAnsiTheme="minorHAnsi"/>
          <w:kern w:val="0"/>
          <w:sz w:val="32"/>
          <w:szCs w:val="32"/>
        </w:rPr>
        <w:t>个，分别是</w:t>
      </w:r>
      <w:r>
        <w:rPr>
          <w:rFonts w:hint="eastAsia" w:ascii="仿宋_GB2312" w:eastAsia="仿宋_GB2312" w:cs="ArialUnicodeMS" w:hAnsiTheme="minorHAnsi"/>
          <w:kern w:val="0"/>
          <w:sz w:val="32"/>
          <w:szCs w:val="32"/>
          <w:lang w:eastAsia="zh-CN"/>
        </w:rPr>
        <w:t>石家庄市鹿泉区石柏公园管理处</w:t>
      </w:r>
      <w:r>
        <w:rPr>
          <w:rFonts w:hint="eastAsia" w:ascii="仿宋_GB2312" w:eastAsia="仿宋_GB2312" w:cs="ArialUnicodeMS" w:hAnsiTheme="minorHAnsi"/>
          <w:kern w:val="0"/>
          <w:sz w:val="32"/>
          <w:szCs w:val="32"/>
        </w:rPr>
        <w:t xml:space="preserve"> ，单位基本性质为</w:t>
      </w:r>
      <w:r>
        <w:rPr>
          <w:rFonts w:hint="eastAsia" w:ascii="仿宋_GB2312" w:eastAsia="仿宋_GB2312" w:cs="ArialUnicodeMS" w:hAnsiTheme="minorHAnsi"/>
          <w:kern w:val="0"/>
          <w:sz w:val="32"/>
          <w:szCs w:val="32"/>
          <w:lang w:eastAsia="zh-CN"/>
        </w:rPr>
        <w:t>差额拨款事业</w:t>
      </w:r>
      <w:r>
        <w:rPr>
          <w:rFonts w:hint="eastAsia" w:ascii="仿宋_GB2312" w:eastAsia="仿宋_GB2312" w:cs="ArialUnicodeMS" w:hAnsiTheme="minorHAnsi"/>
          <w:kern w:val="0"/>
          <w:sz w:val="32"/>
          <w:szCs w:val="32"/>
        </w:rPr>
        <w:t>单位，预算管理级次为</w:t>
      </w:r>
      <w:r>
        <w:rPr>
          <w:rFonts w:hint="eastAsia" w:ascii="仿宋_GB2312" w:eastAsia="仿宋_GB2312" w:cs="ArialUnicodeMS" w:hAnsiTheme="minorHAnsi"/>
          <w:kern w:val="0"/>
          <w:sz w:val="32"/>
          <w:szCs w:val="32"/>
          <w:lang w:val="en-US" w:eastAsia="zh-CN"/>
        </w:rPr>
        <w:t>2</w:t>
      </w:r>
      <w:r>
        <w:rPr>
          <w:rFonts w:hint="eastAsia" w:ascii="仿宋_GB2312" w:eastAsia="仿宋_GB2312" w:cs="ArialUnicodeMS" w:hAnsiTheme="minorHAnsi"/>
          <w:kern w:val="0"/>
          <w:sz w:val="32"/>
          <w:szCs w:val="32"/>
        </w:rPr>
        <w:t>级预算单位，执行</w:t>
      </w:r>
      <w:r>
        <w:rPr>
          <w:rFonts w:hint="eastAsia" w:ascii="仿宋_GB2312" w:eastAsia="仿宋_GB2312" w:cs="ArialUnicodeMS" w:hAnsiTheme="minorHAnsi"/>
          <w:kern w:val="0"/>
          <w:sz w:val="32"/>
          <w:szCs w:val="32"/>
          <w:lang w:eastAsia="zh-CN"/>
        </w:rPr>
        <w:t>事业</w:t>
      </w:r>
      <w:r>
        <w:rPr>
          <w:rFonts w:hint="eastAsia" w:ascii="仿宋_GB2312" w:eastAsia="仿宋_GB2312" w:cs="ArialUnicodeMS" w:hAnsiTheme="minorHAnsi"/>
          <w:kern w:val="0"/>
          <w:sz w:val="32"/>
          <w:szCs w:val="32"/>
        </w:rPr>
        <w:t>单位会计制度</w:t>
      </w:r>
      <w:r>
        <w:rPr>
          <w:rFonts w:hint="eastAsia" w:ascii="仿宋_GB2312" w:eastAsia="仿宋_GB2312" w:cs="ArialUnicodeMS" w:hAnsiTheme="minorHAnsi"/>
          <w:kern w:val="0"/>
          <w:sz w:val="32"/>
          <w:szCs w:val="32"/>
          <w:lang w:eastAsia="zh-CN"/>
        </w:rPr>
        <w:t>，较上年无增减变化。</w:t>
      </w:r>
    </w:p>
    <w:p>
      <w:pPr>
        <w:spacing w:after="0" w:line="560" w:lineRule="exact"/>
        <w:rPr>
          <w:rFonts w:ascii="仿宋_GB2312" w:eastAsia="仿宋_GB2312" w:cs="ArialUnicodeMS" w:hAnsiTheme="minorHAnsi"/>
          <w:kern w:val="0"/>
          <w:sz w:val="32"/>
          <w:szCs w:val="32"/>
        </w:rPr>
      </w:pPr>
    </w:p>
    <w:p>
      <w:pPr>
        <w:spacing w:after="0" w:line="560" w:lineRule="exact"/>
        <w:rPr>
          <w:rFonts w:ascii="仿宋_GB2312" w:eastAsia="仿宋_GB2312" w:cs="ArialUnicodeMS" w:hAnsiTheme="minorHAnsi"/>
          <w:kern w:val="0"/>
          <w:sz w:val="32"/>
          <w:szCs w:val="32"/>
        </w:rPr>
      </w:pPr>
    </w:p>
    <w:p>
      <w:pPr>
        <w:spacing w:after="0" w:line="560" w:lineRule="exact"/>
        <w:rPr>
          <w:rFonts w:ascii="仿宋_GB2312" w:eastAsia="仿宋_GB2312" w:cs="ArialUnicodeMS" w:hAnsiTheme="minorHAnsi"/>
          <w:kern w:val="0"/>
          <w:sz w:val="32"/>
          <w:szCs w:val="32"/>
        </w:rPr>
      </w:pPr>
    </w:p>
    <w:p>
      <w:pPr>
        <w:pStyle w:val="2"/>
        <w:spacing w:line="560" w:lineRule="exact"/>
        <w:jc w:val="center"/>
        <w:rPr>
          <w:rFonts w:ascii="仿宋_GB2312" w:eastAsia="仿宋_GB2312" w:cs="ArialUnicodeMS" w:hAnsiTheme="minorHAnsi"/>
          <w:kern w:val="0"/>
          <w:sz w:val="32"/>
          <w:szCs w:val="32"/>
        </w:rPr>
      </w:pPr>
      <w:r>
        <w:rPr>
          <w:rFonts w:hint="eastAsia" w:ascii="宋体" w:hAnsi="宋体" w:cs="ArialUnicodeMS"/>
          <w:color w:val="000000"/>
          <w:kern w:val="0"/>
        </w:rPr>
        <w:t>第二部分 2017年度部门决算报表</w:t>
      </w:r>
    </w:p>
    <w:p>
      <w:pPr>
        <w:ind w:firstLine="1280" w:firstLineChars="400"/>
        <w:rPr>
          <w:rFonts w:ascii="仿宋_GB2312" w:eastAsia="仿宋_GB2312" w:cs="ArialUnicodeMS" w:hAnsiTheme="minorHAnsi"/>
          <w:color w:val="FF0000"/>
          <w:kern w:val="0"/>
          <w:sz w:val="32"/>
          <w:szCs w:val="32"/>
          <w:u w:val="single"/>
        </w:rPr>
        <w:sectPr>
          <w:pgSz w:w="11906" w:h="16838"/>
          <w:pgMar w:top="2098" w:right="1474" w:bottom="1985" w:left="1588" w:header="851" w:footer="992" w:gutter="0"/>
          <w:pgNumType w:start="0"/>
          <w:cols w:space="425" w:num="1"/>
          <w:titlePg/>
          <w:docGrid w:type="lines" w:linePitch="312" w:charSpace="0"/>
        </w:sectPr>
      </w:pPr>
      <w:r>
        <w:rPr>
          <w:rFonts w:hint="eastAsia" w:ascii="仿宋_GB2312" w:eastAsia="仿宋_GB2312" w:cs="ArialUnicodeMS" w:hAnsiTheme="minorHAnsi"/>
          <w:color w:val="FF0000"/>
          <w:kern w:val="0"/>
          <w:sz w:val="32"/>
          <w:szCs w:val="32"/>
          <w:u w:val="single"/>
        </w:rPr>
        <w:t>见附件:石柏公园决算公开表</w:t>
      </w:r>
    </w:p>
    <w:p>
      <w:pPr>
        <w:autoSpaceDE w:val="0"/>
        <w:autoSpaceDN w:val="0"/>
        <w:adjustRightInd w:val="0"/>
        <w:spacing w:line="560" w:lineRule="exact"/>
        <w:jc w:val="left"/>
        <w:rPr>
          <w:rFonts w:cs="黑体" w:asciiTheme="majorEastAsia" w:hAnsiTheme="majorEastAsia" w:eastAsiaTheme="majorEastAsia"/>
          <w:b/>
          <w:color w:val="FF0000"/>
          <w:kern w:val="0"/>
          <w:sz w:val="44"/>
          <w:szCs w:val="44"/>
        </w:rPr>
      </w:pPr>
    </w:p>
    <w:p>
      <w:pPr>
        <w:pStyle w:val="2"/>
        <w:spacing w:line="560" w:lineRule="exact"/>
        <w:jc w:val="center"/>
        <w:rPr>
          <w:rFonts w:cs="ArialUnicodeMS" w:asciiTheme="majorEastAsia" w:hAnsiTheme="majorEastAsia" w:eastAsiaTheme="majorEastAsia"/>
          <w:color w:val="000000"/>
          <w:kern w:val="0"/>
        </w:rPr>
      </w:pPr>
      <w:r>
        <w:rPr>
          <w:rFonts w:hint="eastAsia" w:cs="ArialUnicodeMS" w:asciiTheme="majorEastAsia" w:hAnsiTheme="majorEastAsia" w:eastAsiaTheme="majorEastAsia"/>
          <w:color w:val="000000"/>
          <w:kern w:val="0"/>
        </w:rPr>
        <w:t>第三部分</w:t>
      </w:r>
      <w:r>
        <w:rPr>
          <w:rFonts w:cs="ArialUnicodeMS" w:asciiTheme="majorEastAsia" w:hAnsiTheme="majorEastAsia" w:eastAsiaTheme="majorEastAsia"/>
          <w:color w:val="000000"/>
          <w:kern w:val="0"/>
        </w:rPr>
        <w:t xml:space="preserve"> </w:t>
      </w:r>
      <w:r>
        <w:rPr>
          <w:rFonts w:hint="eastAsia" w:cs="ArialUnicodeMS" w:asciiTheme="majorEastAsia" w:hAnsiTheme="majorEastAsia" w:eastAsiaTheme="majorEastAsia"/>
          <w:color w:val="000000"/>
          <w:kern w:val="0"/>
        </w:rPr>
        <w:t>部门决算情况说明</w:t>
      </w:r>
    </w:p>
    <w:p>
      <w:pPr>
        <w:pStyle w:val="3"/>
        <w:spacing w:before="0" w:after="0" w:line="560" w:lineRule="exact"/>
        <w:ind w:firstLine="643" w:firstLineChars="200"/>
        <w:rPr>
          <w:rFonts w:hint="eastAsia" w:ascii="黑体" w:eastAsia="黑体"/>
          <w:lang w:eastAsia="zh-CN"/>
        </w:rPr>
      </w:pPr>
      <w:r>
        <w:rPr>
          <w:rFonts w:hint="eastAsia" w:ascii="黑体" w:eastAsia="黑体"/>
        </w:rPr>
        <w:t>一、收入</w:t>
      </w:r>
      <w:r>
        <w:rPr>
          <w:rFonts w:hint="eastAsia" w:ascii="黑体" w:eastAsia="黑体" w:cs="黑体" w:hAnsiTheme="minorHAnsi"/>
          <w:kern w:val="0"/>
        </w:rPr>
        <w:t>支出</w:t>
      </w:r>
      <w:r>
        <w:rPr>
          <w:rFonts w:hint="eastAsia" w:ascii="黑体" w:eastAsia="黑体"/>
        </w:rPr>
        <w:t>决算总体情况说</w:t>
      </w:r>
      <w:r>
        <w:rPr>
          <w:rFonts w:hint="eastAsia" w:ascii="黑体" w:eastAsia="黑体"/>
          <w:lang w:eastAsia="zh-CN"/>
        </w:rPr>
        <w:t>明</w:t>
      </w:r>
    </w:p>
    <w:p>
      <w:pPr>
        <w:adjustRightInd w:val="0"/>
        <w:snapToGrid w:val="0"/>
        <w:spacing w:after="0" w:line="560" w:lineRule="exact"/>
        <w:ind w:firstLine="640" w:firstLineChars="200"/>
        <w:rPr>
          <w:rFonts w:ascii="仿宋_GB2312" w:eastAsia="仿宋_GB2312" w:cs="DengXian-Regular"/>
          <w:color w:val="auto"/>
          <w:sz w:val="32"/>
          <w:szCs w:val="32"/>
          <w14:textFill>
            <w14:noFill/>
          </w14:textFill>
        </w:rPr>
      </w:pPr>
      <w:r>
        <w:rPr>
          <w:rFonts w:hint="eastAsia" w:ascii="仿宋_GB2312" w:eastAsia="仿宋_GB2312" w:cs="DengXian-Regular"/>
          <w:sz w:val="32"/>
          <w:szCs w:val="32"/>
        </w:rPr>
        <w:t>本部门2017年度年初结转和结余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万元，本年</w:t>
      </w:r>
      <w:r>
        <w:rPr>
          <w:rFonts w:hint="eastAsia" w:ascii="仿宋_GB2312" w:eastAsia="仿宋_GB2312" w:cs="DengXian-Regular"/>
          <w:sz w:val="32"/>
          <w:szCs w:val="32"/>
          <w:lang w:eastAsia="zh-CN"/>
        </w:rPr>
        <w:t>总</w:t>
      </w:r>
      <w:r>
        <w:rPr>
          <w:rFonts w:hint="eastAsia" w:ascii="仿宋_GB2312" w:eastAsia="仿宋_GB2312" w:cs="DengXian-Regular"/>
          <w:sz w:val="32"/>
          <w:szCs w:val="32"/>
        </w:rPr>
        <w:t>收入</w:t>
      </w:r>
      <w:r>
        <w:rPr>
          <w:rFonts w:hint="eastAsia" w:ascii="仿宋_GB2312" w:eastAsia="仿宋_GB2312" w:cs="DengXian-Regular"/>
          <w:sz w:val="32"/>
          <w:szCs w:val="32"/>
          <w:lang w:val="en-US" w:eastAsia="zh-CN"/>
        </w:rPr>
        <w:t>167.13</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144.67</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22.46</w:t>
      </w:r>
      <w:r>
        <w:rPr>
          <w:rFonts w:hint="eastAsia" w:ascii="仿宋_GB2312" w:eastAsia="仿宋_GB2312" w:cs="DengXian-Regular"/>
          <w:sz w:val="32"/>
          <w:szCs w:val="32"/>
        </w:rPr>
        <w:t>万元。</w:t>
      </w:r>
    </w:p>
    <w:p>
      <w:pPr>
        <w:pStyle w:val="3"/>
        <w:spacing w:before="0" w:after="0" w:line="560" w:lineRule="exact"/>
        <w:ind w:firstLine="643" w:firstLineChars="200"/>
        <w:rPr>
          <w:rFonts w:ascii="黑体" w:eastAsia="黑体"/>
        </w:rPr>
      </w:pPr>
      <w:r>
        <w:rPr>
          <w:rFonts w:hint="eastAsia" w:ascii="黑体" w:eastAsia="黑体"/>
        </w:rPr>
        <w:t>二、收入决算情况说明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本部门2017年度本年收入合计</w:t>
      </w:r>
      <w:r>
        <w:rPr>
          <w:rFonts w:hint="eastAsia" w:ascii="仿宋_GB2312" w:eastAsia="仿宋_GB2312" w:cs="DengXian-Regular"/>
          <w:sz w:val="32"/>
          <w:szCs w:val="32"/>
          <w:lang w:val="en-US" w:eastAsia="zh-CN"/>
        </w:rPr>
        <w:t>167.13</w:t>
      </w:r>
      <w:r>
        <w:rPr>
          <w:rFonts w:hint="eastAsia" w:ascii="仿宋_GB2312" w:eastAsia="仿宋_GB2312" w:cs="DengXian-Regular"/>
          <w:sz w:val="32"/>
          <w:szCs w:val="32"/>
        </w:rPr>
        <w:t>万元，其中：财政拨款收入</w:t>
      </w:r>
      <w:r>
        <w:rPr>
          <w:rFonts w:hint="eastAsia" w:ascii="仿宋_GB2312" w:eastAsia="仿宋_GB2312" w:cs="DengXian-Regular"/>
          <w:sz w:val="32"/>
          <w:szCs w:val="32"/>
          <w:lang w:val="en-US" w:eastAsia="zh-CN"/>
        </w:rPr>
        <w:t>158.84</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95</w:t>
      </w:r>
      <w:r>
        <w:rPr>
          <w:rFonts w:hint="eastAsia" w:ascii="仿宋_GB2312" w:eastAsia="仿宋_GB2312" w:cs="DengXian-Regular"/>
          <w:sz w:val="32"/>
          <w:szCs w:val="32"/>
        </w:rPr>
        <w:t>%；其他收入</w:t>
      </w:r>
      <w:r>
        <w:rPr>
          <w:rFonts w:hint="eastAsia" w:ascii="仿宋_GB2312" w:eastAsia="仿宋_GB2312" w:cs="DengXian-Regular"/>
          <w:sz w:val="32"/>
          <w:szCs w:val="32"/>
          <w:lang w:val="en-US" w:eastAsia="zh-CN"/>
        </w:rPr>
        <w:t>8.28</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5</w:t>
      </w:r>
      <w:r>
        <w:rPr>
          <w:rFonts w:hint="eastAsia" w:ascii="仿宋_GB2312" w:eastAsia="仿宋_GB2312" w:cs="DengXian-Regular"/>
          <w:sz w:val="32"/>
          <w:szCs w:val="32"/>
        </w:rPr>
        <w:t>%。如图所示：</w:t>
      </w:r>
    </w:p>
    <w:p>
      <w:pPr>
        <w:adjustRightInd w:val="0"/>
        <w:snapToGrid w:val="0"/>
        <w:spacing w:line="560" w:lineRule="exact"/>
        <w:ind w:firstLine="1920" w:firstLineChars="600"/>
        <w:rPr>
          <w:rFonts w:ascii="仿宋_GB2312" w:eastAsia="仿宋_GB2312" w:cs="DengXian-Regular"/>
          <w:sz w:val="32"/>
          <w:szCs w:val="32"/>
        </w:rPr>
      </w:pPr>
      <w:r>
        <w:rPr>
          <w:rFonts w:hint="eastAsia" w:ascii="仿宋_GB2312" w:eastAsia="仿宋_GB2312" w:cs="DengXian-Regular"/>
          <w:sz w:val="32"/>
          <w:szCs w:val="32"/>
          <w:lang w:val="en-US" w:eastAsia="zh-CN"/>
        </w:rPr>
        <w:drawing>
          <wp:anchor distT="0" distB="0" distL="114300" distR="114300" simplePos="0" relativeHeight="251658240" behindDoc="0" locked="0" layoutInCell="1" allowOverlap="1">
            <wp:simplePos x="0" y="0"/>
            <wp:positionH relativeFrom="column">
              <wp:posOffset>1204595</wp:posOffset>
            </wp:positionH>
            <wp:positionV relativeFrom="paragraph">
              <wp:posOffset>730250</wp:posOffset>
            </wp:positionV>
            <wp:extent cx="2785110" cy="2211070"/>
            <wp:effectExtent l="4445" t="4445" r="10795" b="1333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Pr>
          <w:rFonts w:hint="eastAsia" w:ascii="仿宋_GB2312" w:eastAsia="仿宋_GB2312" w:cs="DengXian-Regular"/>
          <w:sz w:val="32"/>
          <w:szCs w:val="32"/>
        </w:rPr>
        <w:t>图1：收入决算结构饼状图</w:t>
      </w:r>
    </w:p>
    <w:p>
      <w:pPr>
        <w:adjustRightInd w:val="0"/>
        <w:snapToGrid w:val="0"/>
        <w:spacing w:line="560" w:lineRule="exact"/>
        <w:ind w:firstLine="640" w:firstLineChars="200"/>
        <w:rPr>
          <w:rFonts w:hint="eastAsia" w:ascii="仿宋_GB2312" w:eastAsia="仿宋_GB2312" w:cs="DengXian-Regular"/>
          <w:sz w:val="32"/>
          <w:szCs w:val="32"/>
          <w:lang w:val="en-US" w:eastAsia="zh-CN"/>
        </w:rPr>
      </w:pPr>
      <w:r>
        <w:rPr>
          <w:rFonts w:hint="eastAsia" w:ascii="仿宋_GB2312" w:eastAsia="仿宋_GB2312" w:cs="DengXian-Regular"/>
          <w:sz w:val="32"/>
          <w:szCs w:val="32"/>
          <w:lang w:val="en-US" w:eastAsia="zh-CN"/>
        </w:rPr>
        <w:t xml:space="preserve">                     </w:t>
      </w:r>
    </w:p>
    <w:p>
      <w:pPr>
        <w:adjustRightInd w:val="0"/>
        <w:snapToGrid w:val="0"/>
        <w:spacing w:line="560" w:lineRule="exact"/>
        <w:ind w:firstLine="640" w:firstLineChars="200"/>
        <w:rPr>
          <w:rFonts w:ascii="仿宋_GB2312" w:eastAsia="仿宋_GB2312" w:cs="DengXian-Regular"/>
          <w:sz w:val="32"/>
          <w:szCs w:val="32"/>
        </w:rPr>
      </w:pPr>
    </w:p>
    <w:p>
      <w:pPr>
        <w:adjustRightInd w:val="0"/>
        <w:snapToGrid w:val="0"/>
        <w:spacing w:after="0" w:line="560" w:lineRule="exact"/>
        <w:rPr>
          <w:rFonts w:hint="eastAsia" w:ascii="仿宋_GB2312" w:eastAsia="仿宋_GB2312" w:cs="DengXian-Regular"/>
          <w:sz w:val="32"/>
          <w:szCs w:val="32"/>
          <w:lang w:eastAsia="zh-CN"/>
        </w:rPr>
      </w:pPr>
    </w:p>
    <w:p>
      <w:pPr>
        <w:adjustRightInd w:val="0"/>
        <w:snapToGrid w:val="0"/>
        <w:spacing w:after="0" w:line="560" w:lineRule="exact"/>
        <w:rPr>
          <w:rFonts w:hint="eastAsia" w:ascii="仿宋_GB2312" w:eastAsia="仿宋_GB2312" w:cs="DengXian-Regular"/>
          <w:sz w:val="32"/>
          <w:szCs w:val="32"/>
          <w:lang w:eastAsia="zh-CN"/>
        </w:rPr>
      </w:pPr>
    </w:p>
    <w:p>
      <w:pPr>
        <w:adjustRightInd w:val="0"/>
        <w:snapToGrid w:val="0"/>
        <w:spacing w:after="0" w:line="560" w:lineRule="exact"/>
        <w:rPr>
          <w:rFonts w:hint="eastAsia" w:ascii="仿宋_GB2312" w:eastAsia="仿宋_GB2312" w:cs="DengXian-Regular"/>
          <w:sz w:val="32"/>
          <w:szCs w:val="32"/>
          <w:lang w:eastAsia="zh-CN"/>
        </w:rPr>
      </w:pPr>
    </w:p>
    <w:p>
      <w:pPr>
        <w:adjustRightInd w:val="0"/>
        <w:snapToGrid w:val="0"/>
        <w:spacing w:after="0" w:line="560" w:lineRule="exact"/>
        <w:rPr>
          <w:rFonts w:hint="eastAsia" w:ascii="仿宋_GB2312" w:eastAsia="仿宋_GB2312" w:cs="DengXian-Regular"/>
          <w:sz w:val="32"/>
          <w:szCs w:val="32"/>
          <w:lang w:eastAsia="zh-CN"/>
        </w:rPr>
      </w:pPr>
    </w:p>
    <w:p>
      <w:pPr>
        <w:adjustRightInd w:val="0"/>
        <w:snapToGrid w:val="0"/>
        <w:spacing w:after="0" w:line="560" w:lineRule="exact"/>
        <w:rPr>
          <w:rFonts w:hint="eastAsia" w:ascii="仿宋_GB2312" w:eastAsia="仿宋_GB2312" w:cs="DengXian-Regular"/>
          <w:sz w:val="32"/>
          <w:szCs w:val="32"/>
          <w:lang w:eastAsia="zh-CN"/>
        </w:rPr>
      </w:pPr>
    </w:p>
    <w:p>
      <w:pPr>
        <w:adjustRightInd w:val="0"/>
        <w:snapToGrid w:val="0"/>
        <w:spacing w:after="0" w:line="560" w:lineRule="exact"/>
        <w:rPr>
          <w:rFonts w:hint="eastAsia" w:ascii="仿宋_GB2312" w:eastAsia="仿宋_GB2312" w:cs="DengXian-Regular"/>
          <w:sz w:val="32"/>
          <w:szCs w:val="32"/>
          <w:lang w:eastAsia="zh-CN"/>
        </w:rPr>
      </w:pPr>
    </w:p>
    <w:p>
      <w:pPr>
        <w:pStyle w:val="3"/>
        <w:spacing w:before="0" w:after="0" w:line="560" w:lineRule="exact"/>
        <w:ind w:firstLine="643" w:firstLineChars="200"/>
        <w:rPr>
          <w:rFonts w:ascii="黑体" w:eastAsia="黑体"/>
        </w:rPr>
      </w:pPr>
      <w:r>
        <w:rPr>
          <w:rFonts w:hint="eastAsia" w:ascii="黑体" w:eastAsia="黑体"/>
        </w:rPr>
        <w:t>三、支出决算情况说明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本部门2017年度本年支出合计</w:t>
      </w:r>
      <w:r>
        <w:rPr>
          <w:rFonts w:hint="eastAsia" w:ascii="仿宋_GB2312" w:eastAsia="仿宋_GB2312" w:cs="DengXian-Regular"/>
          <w:sz w:val="32"/>
          <w:szCs w:val="32"/>
          <w:lang w:val="en-US" w:eastAsia="zh-CN"/>
        </w:rPr>
        <w:t>144.67</w:t>
      </w:r>
      <w:r>
        <w:rPr>
          <w:rFonts w:hint="eastAsia" w:ascii="仿宋_GB2312" w:eastAsia="仿宋_GB2312" w:cs="DengXian-Regular"/>
          <w:sz w:val="32"/>
          <w:szCs w:val="32"/>
        </w:rPr>
        <w:t>万元，其中：基本支出</w:t>
      </w:r>
      <w:r>
        <w:rPr>
          <w:rFonts w:hint="eastAsia" w:ascii="仿宋_GB2312" w:eastAsia="仿宋_GB2312" w:cs="DengXian-Regular"/>
          <w:sz w:val="32"/>
          <w:szCs w:val="32"/>
          <w:lang w:val="en-US" w:eastAsia="zh-CN"/>
        </w:rPr>
        <w:t>63.22</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44</w:t>
      </w:r>
      <w:r>
        <w:rPr>
          <w:rFonts w:hint="eastAsia" w:ascii="仿宋_GB2312" w:eastAsia="仿宋_GB2312" w:cs="DengXian-Regular"/>
          <w:sz w:val="32"/>
          <w:szCs w:val="32"/>
        </w:rPr>
        <w:t>%；项目支出</w:t>
      </w:r>
      <w:r>
        <w:rPr>
          <w:rFonts w:hint="eastAsia" w:ascii="仿宋_GB2312" w:eastAsia="仿宋_GB2312" w:cs="DengXian-Regular"/>
          <w:sz w:val="32"/>
          <w:szCs w:val="32"/>
          <w:lang w:val="en-US" w:eastAsia="zh-CN"/>
        </w:rPr>
        <w:t>81.45</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56</w:t>
      </w:r>
      <w:r>
        <w:rPr>
          <w:rFonts w:hint="eastAsia" w:ascii="仿宋_GB2312" w:eastAsia="仿宋_GB2312" w:cs="DengXian-Regular"/>
          <w:sz w:val="32"/>
          <w:szCs w:val="32"/>
        </w:rPr>
        <w:t>%；如图所示：</w:t>
      </w:r>
    </w:p>
    <w:p>
      <w:pPr>
        <w:adjustRightInd w:val="0"/>
        <w:snapToGrid w:val="0"/>
        <w:spacing w:line="560" w:lineRule="exact"/>
        <w:ind w:firstLine="1920" w:firstLineChars="600"/>
        <w:rPr>
          <w:rFonts w:ascii="仿宋_GB2312" w:eastAsia="仿宋_GB2312" w:cs="DengXian-Regular"/>
          <w:sz w:val="32"/>
          <w:szCs w:val="32"/>
        </w:rPr>
      </w:pPr>
      <w:r>
        <w:rPr>
          <w:rFonts w:hint="eastAsia" w:ascii="仿宋_GB2312" w:eastAsia="仿宋_GB2312" w:cs="DengXian-Regular"/>
          <w:sz w:val="32"/>
          <w:szCs w:val="32"/>
        </w:rPr>
        <w:t>图2：支出决算结构饼状图</w:t>
      </w:r>
    </w:p>
    <w:p>
      <w:pPr>
        <w:adjustRightInd w:val="0"/>
        <w:snapToGrid w:val="0"/>
        <w:spacing w:line="560" w:lineRule="exact"/>
        <w:ind w:firstLine="640" w:firstLineChars="200"/>
        <w:rPr>
          <w:rFonts w:hint="eastAsia" w:ascii="仿宋_GB2312" w:eastAsia="仿宋_GB2312" w:cs="DengXian-Regular"/>
          <w:sz w:val="32"/>
          <w:szCs w:val="32"/>
          <w:lang w:eastAsia="zh-CN"/>
        </w:rPr>
      </w:pPr>
      <w:r>
        <w:rPr>
          <w:rFonts w:hint="eastAsia" w:ascii="仿宋_GB2312" w:eastAsia="仿宋_GB2312" w:cs="DengXian-Regular"/>
          <w:sz w:val="32"/>
          <w:szCs w:val="32"/>
          <w:lang w:eastAsia="zh-CN"/>
        </w:rPr>
        <w:drawing>
          <wp:anchor distT="0" distB="0" distL="114300" distR="114300" simplePos="0" relativeHeight="251659264" behindDoc="0" locked="0" layoutInCell="1" allowOverlap="1">
            <wp:simplePos x="0" y="0"/>
            <wp:positionH relativeFrom="column">
              <wp:posOffset>668020</wp:posOffset>
            </wp:positionH>
            <wp:positionV relativeFrom="paragraph">
              <wp:posOffset>234315</wp:posOffset>
            </wp:positionV>
            <wp:extent cx="3834130" cy="2219960"/>
            <wp:effectExtent l="4445" t="4445" r="9525" b="23495"/>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adjustRightInd w:val="0"/>
        <w:snapToGrid w:val="0"/>
        <w:spacing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pStyle w:val="3"/>
        <w:spacing w:before="0" w:after="0" w:line="560" w:lineRule="exact"/>
        <w:ind w:firstLine="643" w:firstLineChars="200"/>
        <w:rPr>
          <w:rFonts w:hint="eastAsia" w:ascii="黑体" w:eastAsia="黑体"/>
        </w:rPr>
      </w:pPr>
    </w:p>
    <w:p>
      <w:pPr>
        <w:pStyle w:val="3"/>
        <w:spacing w:before="0" w:after="0" w:line="560" w:lineRule="exact"/>
        <w:ind w:firstLine="1285" w:firstLineChars="400"/>
        <w:rPr>
          <w:rFonts w:ascii="黑体" w:eastAsia="黑体"/>
        </w:rPr>
      </w:pPr>
      <w:bookmarkStart w:id="0" w:name="_GoBack"/>
      <w:bookmarkEnd w:id="0"/>
      <w:r>
        <w:rPr>
          <w:rFonts w:hint="eastAsia" w:ascii="黑体" w:eastAsia="黑体"/>
        </w:rPr>
        <w:t>四、</w:t>
      </w:r>
      <w:r>
        <w:rPr>
          <w:rFonts w:hint="eastAsia" w:ascii="黑体" w:eastAsia="黑体" w:cs="黑体" w:hAnsiTheme="minorHAnsi"/>
          <w:kern w:val="0"/>
        </w:rPr>
        <w:t>财政</w:t>
      </w:r>
      <w:r>
        <w:rPr>
          <w:rFonts w:hint="eastAsia" w:ascii="黑体" w:eastAsia="黑体"/>
        </w:rPr>
        <w:t>拨款收入支出决算总体情况说明</w:t>
      </w:r>
    </w:p>
    <w:p>
      <w:pPr>
        <w:spacing w:after="0" w:line="56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（一）财政拨款收支与2016 年度决算对比情况</w:t>
      </w:r>
    </w:p>
    <w:p>
      <w:pPr>
        <w:adjustRightInd w:val="0"/>
        <w:snapToGrid w:val="0"/>
        <w:spacing w:after="0" w:line="560" w:lineRule="exact"/>
        <w:ind w:firstLine="640" w:firstLineChars="200"/>
        <w:rPr>
          <w:rFonts w:hint="eastAsia" w:ascii="仿宋_GB2312" w:eastAsia="仿宋_GB2312" w:cs="DengXian-Regular"/>
          <w:sz w:val="32"/>
          <w:szCs w:val="32"/>
          <w:lang w:eastAsia="zh-CN"/>
        </w:rPr>
      </w:pPr>
      <w:r>
        <w:rPr>
          <w:rFonts w:hint="eastAsia" w:ascii="仿宋_GB2312" w:eastAsia="仿宋_GB2312" w:cs="DengXian-Regular"/>
          <w:sz w:val="32"/>
          <w:szCs w:val="32"/>
        </w:rPr>
        <w:t>本部门2017年度财政拨款年初结转和结余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158.84</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136.38</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22.46</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因我单位为新增单位无法与上年相比。</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63.84</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62.53</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1.31</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因我单位为新增单位无法与上年相比。</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政府性基金预算财政拨款年初结转和结余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95</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73.85</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21.15</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因我单位为新增单位无法与上年相比。</w:t>
      </w:r>
    </w:p>
    <w:p>
      <w:pPr>
        <w:pStyle w:val="3"/>
        <w:spacing w:before="0" w:after="0" w:line="560" w:lineRule="exact"/>
        <w:ind w:firstLine="643" w:firstLineChars="200"/>
        <w:rPr>
          <w:rFonts w:ascii="黑体" w:eastAsia="黑体"/>
        </w:rPr>
      </w:pPr>
      <w:r>
        <w:rPr>
          <w:rFonts w:hint="eastAsia" w:ascii="黑体" w:eastAsia="黑体"/>
        </w:rPr>
        <w:t>五、“三公” 经费支出决算情况说明</w:t>
      </w:r>
    </w:p>
    <w:p>
      <w:pPr>
        <w:ind w:firstLine="640"/>
        <w:jc w:val="left"/>
        <w:rPr>
          <w:rFonts w:hint="eastAsia" w:ascii="仿宋" w:hAnsi="仿宋" w:eastAsia="仿宋" w:cs="仿宋"/>
          <w:sz w:val="32"/>
          <w:szCs w:val="32"/>
        </w:rPr>
      </w:pPr>
      <w:r>
        <w:rPr>
          <w:rFonts w:hint="eastAsia" w:ascii="仿宋" w:hAnsi="仿宋" w:eastAsia="仿宋" w:cs="仿宋"/>
          <w:sz w:val="32"/>
          <w:szCs w:val="32"/>
        </w:rPr>
        <w:t>2017年度我单位无公务用车，因此公务用车运行维护费为零。2017年度我单位未发生因公出国，因此公出国团组数及人数为零。2017年度我单位未发生公务接待，因此公务接待批次及人数为零。</w:t>
      </w:r>
    </w:p>
    <w:p>
      <w:pPr>
        <w:numPr>
          <w:ilvl w:val="0"/>
          <w:numId w:val="1"/>
        </w:numPr>
        <w:ind w:firstLine="64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绩效预算管理工作开展情况说明</w:t>
      </w:r>
    </w:p>
    <w:p>
      <w:pPr>
        <w:numPr>
          <w:ilvl w:val="0"/>
          <w:numId w:val="2"/>
        </w:num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绩效管理工作开展情况。</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根据绩效预算管理改革督察要求，本单位认真开展了预算绩效管理改革开展情况自查，对部门全面规范绩效预算编制、严格预算执行管理、推进绩效评价工作、推进预决算信息公开等方面进行了自评，根据中国石家庄市委全面深化改革领导小组办公室《关于推进绩效预算管理改革情况的督查通报》（石改革办字【</w:t>
      </w:r>
      <w:r>
        <w:rPr>
          <w:rFonts w:hint="eastAsia" w:ascii="仿宋" w:hAnsi="仿宋" w:eastAsia="仿宋" w:cs="仿宋"/>
          <w:sz w:val="32"/>
          <w:szCs w:val="32"/>
          <w:lang w:val="en-US" w:eastAsia="zh-CN"/>
        </w:rPr>
        <w:t>2018</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25号</w:t>
      </w:r>
      <w:r>
        <w:rPr>
          <w:rFonts w:hint="eastAsia" w:ascii="仿宋" w:hAnsi="仿宋" w:eastAsia="仿宋" w:cs="仿宋"/>
          <w:sz w:val="32"/>
          <w:szCs w:val="32"/>
          <w:lang w:eastAsia="zh-CN"/>
        </w:rPr>
        <w:t>），考核结果为良好。</w:t>
      </w:r>
    </w:p>
    <w:p>
      <w:pPr>
        <w:numPr>
          <w:ilvl w:val="0"/>
          <w:numId w:val="3"/>
        </w:numPr>
        <w:ind w:left="800" w:leftChars="0" w:firstLine="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做好公园管护工作，提升公园各种基础设施水平，改善园容园貌，为市民提供优美、舒适的游园环境。</w:t>
      </w:r>
    </w:p>
    <w:p>
      <w:pPr>
        <w:numPr>
          <w:ilvl w:val="0"/>
          <w:numId w:val="0"/>
        </w:numPr>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1）、通过科学绿化，精心对公园5.8万平方米绿地和花卉管护。因地制宜达到更好的观赏效果、病虫防治确保植被健康茁壮生长；对园区地被做了适当调整，改造草坪3081平米，及时补栽苗木并新增花卉3000多平米。</w:t>
      </w:r>
    </w:p>
    <w:p>
      <w:pPr>
        <w:numPr>
          <w:ilvl w:val="0"/>
          <w:numId w:val="0"/>
        </w:num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（2）、全力以赴的做好2.55万平方米广场、甬道、厕所等硬覆盖面积及7.5万平方米水面的保洁以及垃圾的清运工作，确保卫生达到干净整洁美观。</w:t>
      </w:r>
    </w:p>
    <w:p>
      <w:pPr>
        <w:numPr>
          <w:ilvl w:val="0"/>
          <w:numId w:val="0"/>
        </w:num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3）、基础设施功能健全、设施配套，保证园区内照明设施完好和亮灯。根据日落时间调节亮灯时间24次，更换电缆139米，更换LED节能灯106盏，LED灯管36根，维修园内景点亮化21次，日常维护便道、广场、台阶及花池等设施160余次……及时发现，及时维修，把工作落细落小。每周对园区定期安全隐患排查，主动作为，把公园建设成为平安景区。</w:t>
      </w:r>
    </w:p>
    <w:p>
      <w:pPr>
        <w:numPr>
          <w:ilvl w:val="0"/>
          <w:numId w:val="0"/>
        </w:num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2、以“精美、精细、精致、精彩”为目标，从专业化、精细化、常态化入手，深入实施精细化管理，公园日常管护水平进一步提高。</w:t>
      </w:r>
    </w:p>
    <w:p>
      <w:pPr>
        <w:numPr>
          <w:ilvl w:val="0"/>
          <w:numId w:val="0"/>
        </w:num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七、其他重要事项的情况说明</w:t>
      </w:r>
    </w:p>
    <w:p>
      <w:pPr>
        <w:numPr>
          <w:ilvl w:val="0"/>
          <w:numId w:val="0"/>
        </w:num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pStyle w:val="2"/>
        <w:jc w:val="center"/>
        <w:rPr>
          <w:rFonts w:cs="SimSun,Bold" w:asciiTheme="majorEastAsia" w:hAnsiTheme="majorEastAsia" w:eastAsiaTheme="majorEastAsia"/>
        </w:rPr>
      </w:pPr>
      <w:r>
        <w:rPr>
          <w:rFonts w:hint="eastAsia" w:cs="SimSun,Bold" w:asciiTheme="majorEastAsia" w:hAnsiTheme="majorEastAsia" w:eastAsiaTheme="majorEastAsia"/>
        </w:rPr>
        <w:t>第四部分</w:t>
      </w:r>
      <w:r>
        <w:rPr>
          <w:rFonts w:hint="eastAsia" w:cs="SimSun,Bold" w:asciiTheme="majorEastAsia" w:hAnsiTheme="majorEastAsia" w:eastAsiaTheme="majorEastAsia"/>
          <w:bCs w:val="0"/>
        </w:rPr>
        <w:t xml:space="preserve"> </w:t>
      </w:r>
      <w:r>
        <w:rPr>
          <w:rFonts w:hint="eastAsia" w:cs="SimSun,Bold" w:asciiTheme="majorEastAsia" w:hAnsiTheme="majorEastAsia" w:eastAsiaTheme="majorEastAsia"/>
        </w:rPr>
        <w:t>名词解释</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（一）财政拨款收入：本年度从本级财政部门取得的财政拨款，包括一般公共预算财政拨款和政府性基金预算财政拨款。</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（二）事业收入：指事业单位开展专业业务活动及辅助活动所取得的收入。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（三）其他收入：指除上述“财政拨款收入”、“事业收入”、“经营收入”等以外的收入。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（五）年初结转和结余：指以前年度尚未完成、结转到本年仍按原规定用途继续使用的资金，或项目已完成等产生的结余资金。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（六）结余分配：指事业单位按照事业单位会计制度的规定从非财政补助结余中分配的事业基金和职工福利基金等。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（七）年末结转和结余：指单位按有关规定结转到下年或以后年度继续使用的资金，或项目已完成等产生的结余资金。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（八）基本支出：填列单位为保障机构正常运转、完成日常工作任务而发生的各项支出。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（九）项目支出：填列单位为完成特定的行政工作任务或事业发展目标，在基本支出之外发生的各项支出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（十三）其他交通费用：填列单位除公务用车运行维护费以外的其他交通费用。如飞机、船舶等的燃料费、维修费、过桥过路费、保险费、出租车费用、公务交通补贴等。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（十四）公务用车购置：填列单位公务用车车辆购置支出（含车辆购置税）。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（十五）其他交通工具购置：填列单位除公务用车外的其他各类交通工具（如船舶、飞机）购置支出（含车辆购置税）。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仿宋">
    <w:panose1 w:val="02010609060101010101"/>
    <w:charset w:val="86"/>
    <w:family w:val="auto"/>
    <w:pitch w:val="default"/>
    <w:sig w:usb0="800002BF" w:usb1="38CF7CFA" w:usb2="00000016" w:usb3="00000000" w:csb0="00040001" w:csb1="00000000"/>
  </w:font>
  <w:font w:name="DengXian-Regular">
    <w:altName w:val="宋体"/>
    <w:panose1 w:val="00000000000000000000"/>
    <w:charset w:val="86"/>
    <w:family w:val="auto"/>
    <w:pitch w:val="default"/>
    <w:sig w:usb0="00000000" w:usb1="00000000" w:usb2="0000001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DengXian-Bold">
    <w:altName w:val="宋体"/>
    <w:panose1 w:val="00000000000000000000"/>
    <w:charset w:val="86"/>
    <w:family w:val="auto"/>
    <w:pitch w:val="default"/>
    <w:sig w:usb0="00000000" w:usb1="00000000" w:usb2="00000010" w:usb3="00000000" w:csb0="00040001" w:csb1="00000000"/>
  </w:font>
  <w:font w:name="SimSun,Bold">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Malgun Gothic">
    <w:panose1 w:val="020B0503020000020004"/>
    <w:charset w:val="81"/>
    <w:family w:val="auto"/>
    <w:pitch w:val="default"/>
    <w:sig w:usb0="900002AF" w:usb1="01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3924A7"/>
    <w:multiLevelType w:val="singleLevel"/>
    <w:tmpl w:val="E13924A7"/>
    <w:lvl w:ilvl="0" w:tentative="0">
      <w:start w:val="6"/>
      <w:numFmt w:val="chineseCounting"/>
      <w:suff w:val="nothing"/>
      <w:lvlText w:val="%1、"/>
      <w:lvlJc w:val="left"/>
      <w:rPr>
        <w:rFonts w:hint="eastAsia"/>
      </w:rPr>
    </w:lvl>
  </w:abstractNum>
  <w:abstractNum w:abstractNumId="1">
    <w:nsid w:val="3F15D8AF"/>
    <w:multiLevelType w:val="singleLevel"/>
    <w:tmpl w:val="3F15D8AF"/>
    <w:lvl w:ilvl="0" w:tentative="0">
      <w:start w:val="1"/>
      <w:numFmt w:val="decimal"/>
      <w:suff w:val="nothing"/>
      <w:lvlText w:val="%1、"/>
      <w:lvlJc w:val="left"/>
      <w:pPr>
        <w:ind w:left="800" w:leftChars="0" w:firstLine="0" w:firstLineChars="0"/>
      </w:pPr>
    </w:lvl>
  </w:abstractNum>
  <w:abstractNum w:abstractNumId="2">
    <w:nsid w:val="4628BF46"/>
    <w:multiLevelType w:val="singleLevel"/>
    <w:tmpl w:val="4628BF46"/>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413"/>
    <w:rsid w:val="00024E7F"/>
    <w:rsid w:val="000475A0"/>
    <w:rsid w:val="000E2F81"/>
    <w:rsid w:val="00146C47"/>
    <w:rsid w:val="00152FB8"/>
    <w:rsid w:val="00185B66"/>
    <w:rsid w:val="001B3410"/>
    <w:rsid w:val="001C030D"/>
    <w:rsid w:val="001F0368"/>
    <w:rsid w:val="002C04C4"/>
    <w:rsid w:val="002D08B0"/>
    <w:rsid w:val="00341C8F"/>
    <w:rsid w:val="00391D9D"/>
    <w:rsid w:val="003B6C51"/>
    <w:rsid w:val="003C1413"/>
    <w:rsid w:val="003C549F"/>
    <w:rsid w:val="003D5A16"/>
    <w:rsid w:val="005F4B66"/>
    <w:rsid w:val="00641318"/>
    <w:rsid w:val="0070012A"/>
    <w:rsid w:val="0070664B"/>
    <w:rsid w:val="007071B8"/>
    <w:rsid w:val="007414DE"/>
    <w:rsid w:val="007905A9"/>
    <w:rsid w:val="007E5500"/>
    <w:rsid w:val="00840A97"/>
    <w:rsid w:val="008C0149"/>
    <w:rsid w:val="008F2E78"/>
    <w:rsid w:val="009A1ABE"/>
    <w:rsid w:val="00A35CE0"/>
    <w:rsid w:val="00A44AA4"/>
    <w:rsid w:val="00A61623"/>
    <w:rsid w:val="00A84687"/>
    <w:rsid w:val="00AD3B6E"/>
    <w:rsid w:val="00B56722"/>
    <w:rsid w:val="00C3774E"/>
    <w:rsid w:val="00C87FAB"/>
    <w:rsid w:val="00C91FF7"/>
    <w:rsid w:val="00C94E53"/>
    <w:rsid w:val="00DB35AF"/>
    <w:rsid w:val="00DF5B88"/>
    <w:rsid w:val="00E2595E"/>
    <w:rsid w:val="00E35374"/>
    <w:rsid w:val="00E50C19"/>
    <w:rsid w:val="00E856C9"/>
    <w:rsid w:val="00EB6A8B"/>
    <w:rsid w:val="00EF38C6"/>
    <w:rsid w:val="00FE3DC8"/>
    <w:rsid w:val="0AD14148"/>
    <w:rsid w:val="0BF010EF"/>
    <w:rsid w:val="0EA10E9D"/>
    <w:rsid w:val="1C7273F2"/>
    <w:rsid w:val="546A064F"/>
    <w:rsid w:val="648E5950"/>
    <w:rsid w:val="64947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6">
    <w:name w:val="Date"/>
    <w:basedOn w:val="1"/>
    <w:next w:val="1"/>
    <w:link w:val="32"/>
    <w:unhideWhenUsed/>
    <w:qFormat/>
    <w:uiPriority w:val="99"/>
    <w:pPr>
      <w:ind w:left="100" w:leftChars="2500"/>
    </w:pPr>
  </w:style>
  <w:style w:type="paragraph" w:styleId="7">
    <w:name w:val="Balloon Text"/>
    <w:basedOn w:val="1"/>
    <w:link w:val="20"/>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Subtitle"/>
    <w:basedOn w:val="1"/>
    <w:next w:val="1"/>
    <w:link w:val="22"/>
    <w:qFormat/>
    <w:uiPriority w:val="11"/>
    <w:pPr>
      <w:widowControl/>
      <w:spacing w:after="200" w:line="276" w:lineRule="auto"/>
      <w:jc w:val="left"/>
    </w:pPr>
    <w:rPr>
      <w:rFonts w:asciiTheme="majorHAnsi" w:hAnsiTheme="majorHAnsi" w:eastAsiaTheme="majorEastAsia" w:cstheme="majorBidi"/>
      <w:i/>
      <w:iCs/>
      <w:color w:val="F0A22E" w:themeColor="accent1"/>
      <w:spacing w:val="15"/>
      <w:kern w:val="0"/>
      <w:sz w:val="24"/>
      <w14:textFill>
        <w14:solidFill>
          <w14:schemeClr w14:val="accent1"/>
        </w14:solidFill>
      </w14:textFill>
    </w:rPr>
  </w:style>
  <w:style w:type="paragraph" w:styleId="11">
    <w:name w:val="Title"/>
    <w:basedOn w:val="1"/>
    <w:next w:val="1"/>
    <w:link w:val="21"/>
    <w:qFormat/>
    <w:uiPriority w:val="10"/>
    <w:pPr>
      <w:widowControl/>
      <w:pBdr>
        <w:bottom w:val="single" w:color="F0A22E" w:themeColor="accent1" w:sz="8" w:space="4"/>
      </w:pBdr>
      <w:spacing w:after="300"/>
      <w:contextualSpacing/>
      <w:jc w:val="left"/>
    </w:pPr>
    <w:rPr>
      <w:rFonts w:asciiTheme="majorHAnsi" w:hAnsiTheme="majorHAnsi" w:eastAsiaTheme="majorEastAsia" w:cstheme="majorBidi"/>
      <w:color w:val="3B2C24" w:themeColor="text2" w:themeShade="BF"/>
      <w:spacing w:val="5"/>
      <w:kern w:val="28"/>
      <w:sz w:val="52"/>
      <w:szCs w:val="52"/>
    </w:rPr>
  </w:style>
  <w:style w:type="character" w:styleId="13">
    <w:name w:val="FollowedHyperlink"/>
    <w:basedOn w:val="12"/>
    <w:qFormat/>
    <w:uiPriority w:val="0"/>
    <w:rPr>
      <w:color w:val="800080"/>
      <w:u w:val="single"/>
    </w:rPr>
  </w:style>
  <w:style w:type="table" w:styleId="15">
    <w:name w:val="Table Grid"/>
    <w:basedOn w:val="14"/>
    <w:qFormat/>
    <w:uiPriority w:val="1"/>
    <w:pPr>
      <w:spacing w:after="0" w:line="240" w:lineRule="auto"/>
    </w:pPr>
    <w:rPr>
      <w:kern w:val="0"/>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6">
    <w:name w:val="页眉 Char"/>
    <w:basedOn w:val="12"/>
    <w:link w:val="9"/>
    <w:qFormat/>
    <w:uiPriority w:val="99"/>
    <w:rPr>
      <w:sz w:val="18"/>
      <w:szCs w:val="18"/>
    </w:rPr>
  </w:style>
  <w:style w:type="character" w:customStyle="1" w:styleId="17">
    <w:name w:val="页脚 Char"/>
    <w:basedOn w:val="12"/>
    <w:link w:val="8"/>
    <w:qFormat/>
    <w:uiPriority w:val="99"/>
    <w:rPr>
      <w:sz w:val="18"/>
      <w:szCs w:val="18"/>
    </w:rPr>
  </w:style>
  <w:style w:type="paragraph" w:customStyle="1" w:styleId="18">
    <w:name w:val="No Spacing"/>
    <w:link w:val="19"/>
    <w:qFormat/>
    <w:uiPriority w:val="1"/>
    <w:pPr>
      <w:spacing w:after="160" w:line="480" w:lineRule="auto"/>
    </w:pPr>
    <w:rPr>
      <w:rFonts w:asciiTheme="minorHAnsi" w:hAnsiTheme="minorHAnsi" w:eastAsiaTheme="minorEastAsia" w:cstheme="minorBidi"/>
      <w:kern w:val="0"/>
      <w:sz w:val="22"/>
      <w:szCs w:val="22"/>
      <w:lang w:val="en-US" w:eastAsia="zh-CN" w:bidi="ar-SA"/>
    </w:rPr>
  </w:style>
  <w:style w:type="character" w:customStyle="1" w:styleId="19">
    <w:name w:val="无间隔 Char"/>
    <w:basedOn w:val="12"/>
    <w:link w:val="18"/>
    <w:qFormat/>
    <w:uiPriority w:val="1"/>
    <w:rPr>
      <w:kern w:val="0"/>
      <w:sz w:val="22"/>
    </w:rPr>
  </w:style>
  <w:style w:type="character" w:customStyle="1" w:styleId="20">
    <w:name w:val="批注框文本 Char"/>
    <w:basedOn w:val="12"/>
    <w:link w:val="7"/>
    <w:semiHidden/>
    <w:qFormat/>
    <w:uiPriority w:val="99"/>
    <w:rPr>
      <w:rFonts w:ascii="Times New Roman" w:hAnsi="Times New Roman" w:eastAsia="宋体" w:cs="Times New Roman"/>
      <w:sz w:val="18"/>
      <w:szCs w:val="18"/>
    </w:rPr>
  </w:style>
  <w:style w:type="character" w:customStyle="1" w:styleId="21">
    <w:name w:val="标题 Char"/>
    <w:basedOn w:val="12"/>
    <w:link w:val="11"/>
    <w:qFormat/>
    <w:uiPriority w:val="10"/>
    <w:rPr>
      <w:rFonts w:asciiTheme="majorHAnsi" w:hAnsiTheme="majorHAnsi" w:eastAsiaTheme="majorEastAsia" w:cstheme="majorBidi"/>
      <w:color w:val="3B2C24" w:themeColor="text2" w:themeShade="BF"/>
      <w:spacing w:val="5"/>
      <w:kern w:val="28"/>
      <w:sz w:val="52"/>
      <w:szCs w:val="52"/>
    </w:rPr>
  </w:style>
  <w:style w:type="character" w:customStyle="1" w:styleId="22">
    <w:name w:val="副标题 Char"/>
    <w:basedOn w:val="12"/>
    <w:link w:val="10"/>
    <w:qFormat/>
    <w:uiPriority w:val="11"/>
    <w:rPr>
      <w:rFonts w:asciiTheme="majorHAnsi" w:hAnsiTheme="majorHAnsi" w:eastAsiaTheme="majorEastAsia" w:cstheme="majorBidi"/>
      <w:i/>
      <w:iCs/>
      <w:color w:val="F0A22E" w:themeColor="accent1"/>
      <w:spacing w:val="15"/>
      <w:kern w:val="0"/>
      <w:sz w:val="24"/>
      <w:szCs w:val="24"/>
      <w14:textFill>
        <w14:solidFill>
          <w14:schemeClr w14:val="accent1"/>
        </w14:solidFill>
      </w14:textFill>
    </w:rPr>
  </w:style>
  <w:style w:type="character" w:customStyle="1" w:styleId="23">
    <w:name w:val="Style1"/>
    <w:basedOn w:val="12"/>
    <w:qFormat/>
    <w:uiPriority w:val="1"/>
    <w:rPr>
      <w:rFonts w:asciiTheme="minorHAnsi" w:hAnsiTheme="minorEastAsia" w:eastAsiaTheme="minorEastAsia" w:cstheme="minorBidi"/>
      <w:sz w:val="22"/>
      <w:szCs w:val="22"/>
      <w:lang w:eastAsia="zh-CN"/>
    </w:rPr>
  </w:style>
  <w:style w:type="character" w:customStyle="1" w:styleId="24">
    <w:name w:val="Style2"/>
    <w:basedOn w:val="12"/>
    <w:qFormat/>
    <w:uiPriority w:val="1"/>
    <w:rPr>
      <w:rFonts w:asciiTheme="minorHAnsi" w:hAnsiTheme="minorEastAsia" w:eastAsiaTheme="minorEastAsia" w:cstheme="minorBidi"/>
      <w:sz w:val="22"/>
      <w:szCs w:val="22"/>
      <w:lang w:eastAsia="zh-CN"/>
    </w:rPr>
  </w:style>
  <w:style w:type="character" w:customStyle="1" w:styleId="25">
    <w:name w:val="Style3"/>
    <w:basedOn w:val="12"/>
    <w:qFormat/>
    <w:uiPriority w:val="1"/>
    <w:rPr>
      <w:rFonts w:asciiTheme="minorHAnsi" w:hAnsiTheme="minorEastAsia" w:eastAsiaTheme="minorEastAsia" w:cstheme="minorBidi"/>
      <w:szCs w:val="22"/>
      <w:lang w:eastAsia="zh-CN"/>
    </w:rPr>
  </w:style>
  <w:style w:type="character" w:customStyle="1" w:styleId="26">
    <w:name w:val="Style4"/>
    <w:basedOn w:val="12"/>
    <w:qFormat/>
    <w:uiPriority w:val="1"/>
    <w:rPr>
      <w:rFonts w:asciiTheme="minorHAnsi" w:hAnsiTheme="minorEastAsia" w:eastAsiaTheme="minorEastAsia" w:cstheme="minorBidi"/>
      <w:szCs w:val="22"/>
      <w:lang w:eastAsia="zh-CN"/>
    </w:rPr>
  </w:style>
  <w:style w:type="character" w:customStyle="1" w:styleId="27">
    <w:name w:val="Style5"/>
    <w:basedOn w:val="12"/>
    <w:qFormat/>
    <w:uiPriority w:val="1"/>
    <w:rPr>
      <w:rFonts w:asciiTheme="minorHAnsi" w:hAnsiTheme="minorEastAsia" w:eastAsiaTheme="minorEastAsia" w:cstheme="minorBidi"/>
      <w:sz w:val="22"/>
      <w:szCs w:val="22"/>
      <w:lang w:eastAsia="zh-CN"/>
    </w:rPr>
  </w:style>
  <w:style w:type="character" w:customStyle="1" w:styleId="28">
    <w:name w:val="标题 1 Char"/>
    <w:basedOn w:val="12"/>
    <w:link w:val="2"/>
    <w:qFormat/>
    <w:uiPriority w:val="9"/>
    <w:rPr>
      <w:rFonts w:ascii="Times New Roman" w:hAnsi="Times New Roman" w:eastAsia="宋体" w:cs="Times New Roman"/>
      <w:b/>
      <w:bCs/>
      <w:kern w:val="44"/>
      <w:sz w:val="44"/>
      <w:szCs w:val="44"/>
    </w:rPr>
  </w:style>
  <w:style w:type="character" w:customStyle="1" w:styleId="29">
    <w:name w:val="标题 2 Char"/>
    <w:basedOn w:val="12"/>
    <w:link w:val="3"/>
    <w:qFormat/>
    <w:uiPriority w:val="9"/>
    <w:rPr>
      <w:rFonts w:asciiTheme="majorHAnsi" w:hAnsiTheme="majorHAnsi" w:eastAsiaTheme="majorEastAsia" w:cstheme="majorBidi"/>
      <w:b/>
      <w:bCs/>
      <w:sz w:val="32"/>
      <w:szCs w:val="32"/>
    </w:rPr>
  </w:style>
  <w:style w:type="character" w:customStyle="1" w:styleId="30">
    <w:name w:val="标题 3 Char"/>
    <w:basedOn w:val="12"/>
    <w:link w:val="4"/>
    <w:qFormat/>
    <w:uiPriority w:val="9"/>
    <w:rPr>
      <w:rFonts w:ascii="Times New Roman" w:hAnsi="Times New Roman" w:eastAsia="宋体" w:cs="Times New Roman"/>
      <w:b/>
      <w:bCs/>
      <w:sz w:val="32"/>
      <w:szCs w:val="32"/>
    </w:rPr>
  </w:style>
  <w:style w:type="character" w:customStyle="1" w:styleId="31">
    <w:name w:val="标题 4 Char"/>
    <w:basedOn w:val="12"/>
    <w:link w:val="5"/>
    <w:qFormat/>
    <w:uiPriority w:val="9"/>
    <w:rPr>
      <w:rFonts w:asciiTheme="majorHAnsi" w:hAnsiTheme="majorHAnsi" w:eastAsiaTheme="majorEastAsia" w:cstheme="majorBidi"/>
      <w:b/>
      <w:bCs/>
      <w:sz w:val="28"/>
      <w:szCs w:val="28"/>
    </w:rPr>
  </w:style>
  <w:style w:type="character" w:customStyle="1" w:styleId="32">
    <w:name w:val="日期 Char"/>
    <w:basedOn w:val="12"/>
    <w:link w:val="6"/>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全年收入</c:v>
                </c:pt>
              </c:strCache>
            </c:strRef>
          </c:tx>
          <c:spPr/>
          <c:explosion val="0"/>
          <c:dPt>
            <c:idx val="0"/>
            <c:bubble3D val="0"/>
            <c:spPr>
              <a:solidFill>
                <a:schemeClr val="accent1">
                  <a:tint val="100000"/>
                  <a:shade val="100000"/>
                  <a:hueMod val="100000"/>
                  <a:satMod val="100000"/>
                </a:schemeClr>
              </a:solidFill>
              <a:ln w="19050">
                <a:solidFill>
                  <a:schemeClr val="lt1"/>
                </a:solidFill>
              </a:ln>
              <a:effectLst/>
            </c:spPr>
          </c:dPt>
          <c:dPt>
            <c:idx val="1"/>
            <c:bubble3D val="0"/>
            <c:spPr>
              <a:solidFill>
                <a:schemeClr val="accent2">
                  <a:tint val="100000"/>
                  <a:shade val="100000"/>
                  <a:hueMod val="100000"/>
                  <a:satMod val="100000"/>
                </a:schemeClr>
              </a:solidFill>
              <a:ln w="19050">
                <a:solidFill>
                  <a:schemeClr val="lt1"/>
                </a:solidFill>
              </a:ln>
              <a:effectLst/>
            </c:spPr>
          </c:dPt>
          <c:dLbls>
            <c:delete val="1"/>
          </c:dLbls>
          <c:cat>
            <c:strRef>
              <c:f>Sheet1!$A$2:$A$3</c:f>
              <c:strCache>
                <c:ptCount val="2"/>
                <c:pt idx="0">
                  <c:v>财政拨款收入</c:v>
                </c:pt>
                <c:pt idx="1">
                  <c:v>其他收入</c:v>
                </c:pt>
              </c:strCache>
            </c:strRef>
          </c:cat>
          <c:val>
            <c:numRef>
              <c:f>Sheet1!$B$2:$B$3</c:f>
              <c:numCache>
                <c:formatCode>General</c:formatCode>
                <c:ptCount val="2"/>
                <c:pt idx="0">
                  <c:v>9.5</c:v>
                </c:pt>
                <c:pt idx="1">
                  <c:v>0.5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全年支出</c:v>
                </c:pt>
              </c:strCache>
            </c:strRef>
          </c:tx>
          <c:spPr/>
          <c:explosion val="0"/>
          <c:dPt>
            <c:idx val="0"/>
            <c:bubble3D val="0"/>
            <c:spPr>
              <a:solidFill>
                <a:schemeClr val="accent1">
                  <a:tint val="100000"/>
                  <a:shade val="100000"/>
                  <a:hueMod val="100000"/>
                  <a:satMod val="100000"/>
                </a:schemeClr>
              </a:solidFill>
              <a:ln w="19050">
                <a:solidFill>
                  <a:schemeClr val="lt1"/>
                </a:solidFill>
              </a:ln>
              <a:effectLst/>
            </c:spPr>
          </c:dPt>
          <c:dPt>
            <c:idx val="1"/>
            <c:bubble3D val="0"/>
            <c:spPr>
              <a:solidFill>
                <a:schemeClr val="accent2">
                  <a:tint val="100000"/>
                  <a:shade val="100000"/>
                  <a:hueMod val="100000"/>
                  <a:satMod val="100000"/>
                </a:schemeClr>
              </a:solidFill>
              <a:ln w="19050">
                <a:solidFill>
                  <a:schemeClr val="lt1"/>
                </a:solidFill>
              </a:ln>
              <a:effectLst/>
            </c:spPr>
          </c:dPt>
          <c:dLbls>
            <c:delete val="1"/>
          </c:dLbls>
          <c:cat>
            <c:strRef>
              <c:f>Sheet1!$A$2:$A$3</c:f>
              <c:strCache>
                <c:ptCount val="2"/>
                <c:pt idx="0">
                  <c:v>基本支出</c:v>
                </c:pt>
                <c:pt idx="1">
                  <c:v>项目支出</c:v>
                </c:pt>
              </c:strCache>
            </c:strRef>
          </c:cat>
          <c:val>
            <c:numRef>
              <c:f>Sheet1!$B$2:$B$3</c:f>
              <c:numCache>
                <c:formatCode>General</c:formatCode>
                <c:ptCount val="2"/>
                <c:pt idx="0">
                  <c:v>44</c:v>
                </c:pt>
                <c:pt idx="1">
                  <c:v>56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跋涉">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CoverPageProperties xmlns="http://schemas.microsoft.com/office/2006/coverPageProps">
  <PublishDate>2017</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14D3A527-2CFD-4B4B-9633-E37B1F7D2C6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899</Words>
  <Characters>5130</Characters>
  <Lines>42</Lines>
  <Paragraphs>12</Paragraphs>
  <TotalTime>0</TotalTime>
  <ScaleCrop>false</ScaleCrop>
  <LinksUpToDate>false</LinksUpToDate>
  <CharactersWithSpaces>6017</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2019-01-22T07:39:00Z</dcterms:created>
  <dc:creator>User</dc:creator>
  <cp:lastModifiedBy>Administrator</cp:lastModifiedBy>
  <dcterms:modified xsi:type="dcterms:W3CDTF">2019-01-31T07:34:03Z</dcterms:modified>
  <dc:subject>石家庄市xxx部门</dc:subject>
  <dc:title>2017年度部门决算</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