
<file path=[Content_Types].xml><?xml version="1.0" encoding="utf-8"?>
<Types xmlns="http://schemas.openxmlformats.org/package/2006/content-types">
  <Default Extension="xml" ContentType="application/xml"/>
  <Default Extension="xlsx" ContentType="application/vnd.openxmlformats-officedocument.spreadsheetml.sheet"/>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style1.xml" ContentType="application/vnd.ms-office.chartstyle+xml"/>
  <Override PartName="/word/charts/style2.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Theme="minorEastAsia" w:hAnsiTheme="minorEastAsia" w:eastAsiaTheme="minorEastAsia"/>
          <w:b/>
          <w:sz w:val="72"/>
          <w:szCs w:val="72"/>
        </w:rPr>
      </w:pPr>
    </w:p>
    <w:p>
      <w:pPr>
        <w:widowControl/>
        <w:jc w:val="center"/>
        <w:rPr>
          <w:rFonts w:asciiTheme="minorEastAsia" w:hAnsiTheme="minorEastAsia" w:eastAsiaTheme="minorEastAsia"/>
          <w:b/>
          <w:sz w:val="72"/>
          <w:szCs w:val="72"/>
        </w:rPr>
      </w:pPr>
    </w:p>
    <w:p>
      <w:pPr>
        <w:widowControl/>
        <w:jc w:val="center"/>
        <w:rPr>
          <w:rFonts w:asciiTheme="minorEastAsia" w:hAnsiTheme="minorEastAsia" w:eastAsiaTheme="minorEastAsia"/>
          <w:sz w:val="72"/>
          <w:szCs w:val="72"/>
          <w14:shadow w14:blurRad="60007" w14:dist="200025" w14:dir="15000000" w14:sx="100000" w14:sy="30000" w14:kx="-1800000" w14:ky="0" w14:algn="bl">
            <w14:srgbClr w14:val="000000">
              <w14:alpha w14:val="68000"/>
            </w14:srgbClr>
          </w14:shadow>
        </w:rPr>
      </w:pPr>
    </w:p>
    <w:p>
      <w:pPr>
        <w:widowControl/>
        <w:jc w:val="center"/>
        <w:rPr>
          <w:rFonts w:hAnsi="宋体" w:asciiTheme="minorEastAsia" w:eastAsiaTheme="minorEastAsia"/>
          <w:color w:val="002060"/>
          <w:sz w:val="84"/>
          <w:szCs w:val="84"/>
          <w14:textOutline w14:w="5270" w14:cap="flat" w14:cmpd="sng" w14:algn="ctr">
            <w14:solidFill>
              <w14:srgbClr w14:val="7D7D7D">
                <w14:tint w14:val="100000"/>
                <w14:shade w14:val="100000"/>
                <w14:satMod w14:val="110000"/>
              </w14:srgbClr>
            </w14:solidFill>
            <w14:prstDash w14:val="solid"/>
            <w14:round/>
          </w14:textOutline>
        </w:rPr>
      </w:pPr>
      <w:r>
        <w:rPr>
          <w:rFonts w:hint="eastAsia" w:hAnsi="宋体" w:asciiTheme="minorEastAsia" w:eastAsiaTheme="minorEastAsia"/>
          <w:color w:val="002060"/>
          <w:sz w:val="84"/>
          <w:szCs w:val="84"/>
          <w14:textOutline w14:w="5270" w14:cap="flat" w14:cmpd="sng" w14:algn="ctr">
            <w14:solidFill>
              <w14:srgbClr w14:val="7D7D7D">
                <w14:tint w14:val="100000"/>
                <w14:shade w14:val="100000"/>
                <w14:satMod w14:val="110000"/>
              </w14:srgbClr>
            </w14:solidFill>
            <w14:prstDash w14:val="solid"/>
            <w14:round/>
          </w14:textOutline>
        </w:rPr>
        <w:t>2017年度部门决算公开</w:t>
      </w:r>
    </w:p>
    <w:p>
      <w:pPr>
        <w:widowControl/>
        <w:jc w:val="center"/>
        <w:rPr>
          <w:rFonts w:asciiTheme="minorEastAsia" w:hAnsiTheme="minorEastAsia" w:eastAsiaTheme="minorEastAsia"/>
          <w:b/>
          <w:sz w:val="72"/>
          <w:szCs w:val="72"/>
        </w:rPr>
      </w:pPr>
    </w:p>
    <w:p>
      <w:pPr>
        <w:widowControl/>
        <w:jc w:val="center"/>
        <w:rPr>
          <w:rFonts w:asciiTheme="minorEastAsia" w:hAnsiTheme="minorEastAsia" w:eastAsiaTheme="minorEastAsia"/>
          <w:b/>
          <w:sz w:val="72"/>
          <w:szCs w:val="72"/>
        </w:rPr>
      </w:pPr>
    </w:p>
    <w:p>
      <w:pPr>
        <w:widowControl/>
        <w:jc w:val="center"/>
        <w:rPr>
          <w:rFonts w:asciiTheme="minorEastAsia" w:hAnsiTheme="minorEastAsia" w:eastAsiaTheme="minorEastAsia"/>
          <w:b/>
          <w:sz w:val="72"/>
          <w:szCs w:val="72"/>
        </w:rPr>
      </w:pPr>
    </w:p>
    <w:p>
      <w:pPr>
        <w:widowControl/>
        <w:jc w:val="center"/>
        <w:rPr>
          <w:rFonts w:asciiTheme="minorEastAsia" w:hAnsiTheme="minorEastAsia" w:eastAsiaTheme="minorEastAsia"/>
          <w:b/>
          <w:sz w:val="72"/>
          <w:szCs w:val="72"/>
        </w:rPr>
      </w:pPr>
    </w:p>
    <w:p>
      <w:pPr>
        <w:widowControl/>
        <w:jc w:val="center"/>
        <w:rPr>
          <w:rFonts w:asciiTheme="minorEastAsia" w:hAnsiTheme="minorEastAsia" w:eastAsiaTheme="minorEastAsia"/>
          <w:b/>
          <w:sz w:val="72"/>
          <w:szCs w:val="72"/>
        </w:rPr>
      </w:pPr>
    </w:p>
    <w:p>
      <w:pPr>
        <w:widowControl/>
        <w:jc w:val="center"/>
        <w:rPr>
          <w:rFonts w:hint="eastAsia" w:ascii="宋体" w:hAnsi="宋体" w:eastAsia="宋体"/>
          <w:b/>
          <w:sz w:val="44"/>
          <w:szCs w:val="44"/>
          <w:lang w:val="en-US" w:eastAsia="zh-CN"/>
        </w:rPr>
      </w:pPr>
      <w:r>
        <w:rPr>
          <w:rFonts w:hint="eastAsia" w:ascii="宋体" w:hAnsi="宋体"/>
          <w:b/>
          <w:sz w:val="44"/>
          <w:szCs w:val="44"/>
        </w:rPr>
        <w:t>石家庄市</w:t>
      </w:r>
      <w:r>
        <w:rPr>
          <w:rFonts w:hint="eastAsia" w:ascii="宋体" w:hAnsi="宋体"/>
          <w:b/>
          <w:sz w:val="44"/>
          <w:szCs w:val="44"/>
          <w:lang w:eastAsia="zh-CN"/>
        </w:rPr>
        <w:t>鹿泉区妇女联合会</w:t>
      </w:r>
    </w:p>
    <w:p>
      <w:pPr>
        <w:widowControl/>
        <w:jc w:val="center"/>
        <w:rPr>
          <w:rFonts w:ascii="宋体" w:hAnsi="宋体"/>
          <w:b/>
          <w:sz w:val="44"/>
          <w:szCs w:val="44"/>
        </w:rPr>
      </w:pPr>
      <w:r>
        <w:rPr>
          <w:rFonts w:hint="eastAsia" w:ascii="宋体" w:hAnsi="宋体"/>
          <w:b/>
          <w:sz w:val="44"/>
          <w:szCs w:val="44"/>
        </w:rPr>
        <w:t>2018年9月14日</w:t>
      </w:r>
    </w:p>
    <w:p>
      <w:pPr>
        <w:widowControl/>
        <w:spacing w:line="580" w:lineRule="exact"/>
        <w:jc w:val="center"/>
        <w:rPr>
          <w:rFonts w:eastAsia="方正小标宋_GBK"/>
          <w:sz w:val="44"/>
          <w:szCs w:val="44"/>
        </w:rPr>
      </w:pPr>
    </w:p>
    <w:p>
      <w:pPr>
        <w:widowControl/>
        <w:spacing w:line="580" w:lineRule="exact"/>
        <w:jc w:val="center"/>
        <w:rPr>
          <w:rFonts w:ascii="黑体" w:eastAsia="黑体"/>
          <w:sz w:val="44"/>
          <w:szCs w:val="44"/>
        </w:rPr>
      </w:pPr>
      <w:r>
        <w:rPr>
          <w:rFonts w:hint="eastAsia" w:ascii="黑体" w:eastAsia="黑体"/>
          <w:sz w:val="44"/>
          <w:szCs w:val="44"/>
        </w:rPr>
        <w:t>部门决算公开目录</w:t>
      </w:r>
    </w:p>
    <w:p>
      <w:pPr>
        <w:widowControl/>
        <w:spacing w:line="580" w:lineRule="exact"/>
        <w:ind w:firstLine="640" w:firstLineChars="200"/>
        <w:rPr>
          <w:rFonts w:eastAsia="黑体"/>
          <w:sz w:val="32"/>
          <w:szCs w:val="32"/>
        </w:rPr>
      </w:pPr>
    </w:p>
    <w:p>
      <w:pPr>
        <w:widowControl/>
        <w:spacing w:line="580" w:lineRule="exact"/>
        <w:ind w:firstLine="640" w:firstLineChars="200"/>
        <w:rPr>
          <w:rFonts w:eastAsia="仿宋_GB2312"/>
          <w:sz w:val="24"/>
          <w:szCs w:val="32"/>
        </w:rPr>
      </w:pPr>
      <w:r>
        <w:rPr>
          <w:rFonts w:eastAsia="黑体"/>
          <w:sz w:val="32"/>
          <w:szCs w:val="32"/>
        </w:rPr>
        <w:t xml:space="preserve">第一部分   </w:t>
      </w:r>
      <w:r>
        <w:rPr>
          <w:rFonts w:hint="eastAsia" w:eastAsia="黑体"/>
          <w:sz w:val="32"/>
          <w:szCs w:val="32"/>
          <w:lang w:eastAsia="zh-CN"/>
        </w:rPr>
        <w:t>妇联</w:t>
      </w:r>
      <w:r>
        <w:rPr>
          <w:rFonts w:eastAsia="黑体"/>
          <w:sz w:val="32"/>
          <w:szCs w:val="32"/>
        </w:rPr>
        <w:t>概况</w:t>
      </w:r>
      <w:r>
        <w:rPr>
          <w:rFonts w:hint="eastAsia" w:eastAsia="仿宋_GB2312"/>
          <w:sz w:val="24"/>
          <w:szCs w:val="32"/>
        </w:rPr>
        <w:t xml:space="preserve">   </w:t>
      </w:r>
    </w:p>
    <w:p>
      <w:pPr>
        <w:widowControl/>
        <w:spacing w:line="580" w:lineRule="exact"/>
        <w:ind w:firstLine="1273" w:firstLineChars="398"/>
        <w:rPr>
          <w:rFonts w:eastAsia="仿宋_GB2312"/>
          <w:sz w:val="32"/>
          <w:szCs w:val="32"/>
        </w:rPr>
      </w:pPr>
      <w:r>
        <w:rPr>
          <w:rFonts w:eastAsia="仿宋_GB2312"/>
          <w:sz w:val="32"/>
          <w:szCs w:val="32"/>
        </w:rPr>
        <w:t>一、部门</w:t>
      </w:r>
      <w:r>
        <w:rPr>
          <w:rFonts w:hint="eastAsia" w:eastAsia="仿宋_GB2312"/>
          <w:sz w:val="32"/>
          <w:szCs w:val="32"/>
        </w:rPr>
        <w:t>职责</w:t>
      </w:r>
    </w:p>
    <w:p>
      <w:pPr>
        <w:widowControl/>
        <w:spacing w:line="580" w:lineRule="exact"/>
        <w:ind w:firstLine="1273" w:firstLineChars="398"/>
        <w:rPr>
          <w:rFonts w:eastAsia="仿宋_GB2312"/>
          <w:sz w:val="32"/>
          <w:szCs w:val="32"/>
        </w:rPr>
      </w:pPr>
      <w:r>
        <w:rPr>
          <w:rFonts w:eastAsia="仿宋_GB2312"/>
          <w:sz w:val="32"/>
          <w:szCs w:val="32"/>
        </w:rPr>
        <w:t>二、部门决算单位构成</w:t>
      </w:r>
    </w:p>
    <w:p>
      <w:pPr>
        <w:widowControl/>
        <w:spacing w:line="580" w:lineRule="exact"/>
        <w:ind w:firstLine="640" w:firstLineChars="200"/>
        <w:rPr>
          <w:rFonts w:eastAsia="仿宋_GB2312"/>
          <w:sz w:val="20"/>
          <w:szCs w:val="32"/>
        </w:rPr>
      </w:pPr>
      <w:r>
        <w:rPr>
          <w:rFonts w:eastAsia="黑体"/>
          <w:sz w:val="32"/>
          <w:szCs w:val="32"/>
        </w:rPr>
        <w:t xml:space="preserve">第二部分   </w:t>
      </w:r>
      <w:r>
        <w:rPr>
          <w:rFonts w:hint="eastAsia" w:eastAsia="黑体"/>
          <w:sz w:val="32"/>
          <w:szCs w:val="32"/>
          <w:lang w:eastAsia="zh-CN"/>
        </w:rPr>
        <w:t>妇联</w:t>
      </w:r>
      <w:r>
        <w:rPr>
          <w:rFonts w:eastAsia="黑体"/>
          <w:sz w:val="32"/>
          <w:szCs w:val="32"/>
        </w:rPr>
        <w:t>2017年度部门决算报表</w:t>
      </w:r>
    </w:p>
    <w:p>
      <w:pPr>
        <w:widowControl/>
        <w:spacing w:line="580" w:lineRule="exact"/>
        <w:ind w:left="640" w:firstLine="640" w:firstLineChars="200"/>
        <w:rPr>
          <w:rFonts w:eastAsia="仿宋_GB2312"/>
          <w:sz w:val="32"/>
          <w:szCs w:val="32"/>
        </w:rPr>
      </w:pPr>
      <w:r>
        <w:rPr>
          <w:rFonts w:eastAsia="仿宋_GB2312"/>
          <w:sz w:val="32"/>
          <w:szCs w:val="32"/>
        </w:rPr>
        <w:t>一、收入支出决算总表</w:t>
      </w:r>
    </w:p>
    <w:p>
      <w:pPr>
        <w:widowControl/>
        <w:spacing w:line="580" w:lineRule="exact"/>
        <w:ind w:left="640" w:firstLine="640" w:firstLineChars="200"/>
        <w:rPr>
          <w:rFonts w:eastAsia="仿宋_GB2312"/>
          <w:sz w:val="32"/>
          <w:szCs w:val="32"/>
        </w:rPr>
      </w:pPr>
      <w:r>
        <w:rPr>
          <w:rFonts w:eastAsia="仿宋_GB2312"/>
          <w:sz w:val="32"/>
          <w:szCs w:val="32"/>
        </w:rPr>
        <w:t>二、收入决算表</w:t>
      </w:r>
    </w:p>
    <w:p>
      <w:pPr>
        <w:widowControl/>
        <w:spacing w:line="580" w:lineRule="exact"/>
        <w:ind w:left="640" w:firstLine="640" w:firstLineChars="200"/>
        <w:rPr>
          <w:rFonts w:eastAsia="仿宋_GB2312"/>
          <w:sz w:val="32"/>
          <w:szCs w:val="32"/>
        </w:rPr>
      </w:pPr>
      <w:r>
        <w:rPr>
          <w:rFonts w:eastAsia="仿宋_GB2312"/>
          <w:sz w:val="32"/>
          <w:szCs w:val="32"/>
        </w:rPr>
        <w:t>三、支出决算表</w:t>
      </w:r>
    </w:p>
    <w:p>
      <w:pPr>
        <w:widowControl/>
        <w:spacing w:line="580" w:lineRule="exact"/>
        <w:ind w:left="640" w:firstLine="640" w:firstLineChars="200"/>
        <w:rPr>
          <w:rFonts w:eastAsia="仿宋_GB2312"/>
          <w:sz w:val="32"/>
          <w:szCs w:val="32"/>
        </w:rPr>
      </w:pPr>
      <w:r>
        <w:rPr>
          <w:rFonts w:eastAsia="仿宋_GB2312"/>
          <w:sz w:val="32"/>
          <w:szCs w:val="32"/>
        </w:rPr>
        <w:t>四、财政拨款收入支出决算总表</w:t>
      </w:r>
    </w:p>
    <w:p>
      <w:pPr>
        <w:widowControl/>
        <w:spacing w:line="580" w:lineRule="exact"/>
        <w:ind w:left="640" w:firstLine="640" w:firstLineChars="200"/>
        <w:rPr>
          <w:rFonts w:eastAsia="仿宋_GB2312"/>
          <w:sz w:val="32"/>
          <w:szCs w:val="32"/>
        </w:rPr>
      </w:pPr>
      <w:r>
        <w:rPr>
          <w:rFonts w:eastAsia="仿宋_GB2312"/>
          <w:sz w:val="32"/>
          <w:szCs w:val="32"/>
        </w:rPr>
        <w:t>五、一般公共预算财政拨款收入支出决算表</w:t>
      </w:r>
    </w:p>
    <w:p>
      <w:pPr>
        <w:widowControl/>
        <w:spacing w:line="580" w:lineRule="exact"/>
        <w:ind w:left="640" w:firstLine="640" w:firstLineChars="200"/>
        <w:rPr>
          <w:rFonts w:eastAsia="仿宋_GB2312"/>
          <w:sz w:val="32"/>
          <w:szCs w:val="32"/>
        </w:rPr>
      </w:pPr>
      <w:r>
        <w:rPr>
          <w:rFonts w:eastAsia="仿宋_GB2312"/>
          <w:sz w:val="32"/>
          <w:szCs w:val="32"/>
        </w:rPr>
        <w:t>六、一般公共预算财政拨款基本支出决算经济分类表</w:t>
      </w:r>
    </w:p>
    <w:p>
      <w:pPr>
        <w:widowControl/>
        <w:spacing w:line="580" w:lineRule="exact"/>
        <w:ind w:left="640" w:firstLine="640" w:firstLineChars="200"/>
        <w:rPr>
          <w:rFonts w:eastAsia="仿宋_GB2312"/>
          <w:sz w:val="32"/>
          <w:szCs w:val="32"/>
        </w:rPr>
      </w:pPr>
      <w:r>
        <w:rPr>
          <w:rFonts w:eastAsia="仿宋_GB2312"/>
          <w:sz w:val="32"/>
          <w:szCs w:val="32"/>
        </w:rPr>
        <w:t>七、政府性基金预算财政拨款收入支出决算表</w:t>
      </w:r>
    </w:p>
    <w:p>
      <w:pPr>
        <w:widowControl/>
        <w:spacing w:line="580" w:lineRule="exact"/>
        <w:ind w:left="640" w:firstLine="640" w:firstLineChars="200"/>
        <w:rPr>
          <w:rFonts w:eastAsia="仿宋_GB2312"/>
          <w:sz w:val="32"/>
          <w:szCs w:val="32"/>
        </w:rPr>
      </w:pPr>
      <w:r>
        <w:rPr>
          <w:rFonts w:eastAsia="仿宋_GB2312"/>
          <w:sz w:val="32"/>
          <w:szCs w:val="32"/>
        </w:rPr>
        <w:t>八、国有资本经营预算财政拨款收入支出决算表</w:t>
      </w:r>
    </w:p>
    <w:p>
      <w:pPr>
        <w:widowControl/>
        <w:spacing w:line="580" w:lineRule="exact"/>
        <w:ind w:left="640" w:firstLine="640" w:firstLineChars="200"/>
        <w:rPr>
          <w:rFonts w:eastAsia="仿宋_GB2312"/>
          <w:sz w:val="32"/>
          <w:szCs w:val="32"/>
        </w:rPr>
      </w:pPr>
      <w:r>
        <w:rPr>
          <w:rFonts w:eastAsia="仿宋_GB2312"/>
          <w:sz w:val="32"/>
          <w:szCs w:val="32"/>
        </w:rPr>
        <w:t>九、“三公”经费等相关信息统计表</w:t>
      </w:r>
    </w:p>
    <w:p>
      <w:pPr>
        <w:widowControl/>
        <w:spacing w:line="580" w:lineRule="exact"/>
        <w:ind w:left="640" w:firstLine="640" w:firstLineChars="200"/>
        <w:rPr>
          <w:rFonts w:eastAsia="仿宋_GB2312"/>
          <w:sz w:val="32"/>
          <w:szCs w:val="32"/>
        </w:rPr>
      </w:pPr>
      <w:r>
        <w:rPr>
          <w:rFonts w:eastAsia="仿宋_GB2312"/>
          <w:sz w:val="32"/>
          <w:szCs w:val="32"/>
        </w:rPr>
        <w:t>十、政府采购情况表</w:t>
      </w:r>
    </w:p>
    <w:p>
      <w:pPr>
        <w:widowControl/>
        <w:spacing w:line="580" w:lineRule="exact"/>
        <w:ind w:firstLine="640" w:firstLineChars="200"/>
        <w:rPr>
          <w:rFonts w:eastAsia="黑体"/>
          <w:sz w:val="32"/>
          <w:szCs w:val="32"/>
        </w:rPr>
      </w:pPr>
      <w:r>
        <w:rPr>
          <w:rFonts w:eastAsia="黑体"/>
          <w:sz w:val="32"/>
          <w:szCs w:val="32"/>
        </w:rPr>
        <w:t xml:space="preserve">第三部分  </w:t>
      </w:r>
      <w:r>
        <w:rPr>
          <w:rFonts w:hint="eastAsia" w:eastAsia="黑体"/>
          <w:sz w:val="32"/>
          <w:szCs w:val="32"/>
          <w:lang w:eastAsia="zh-CN"/>
        </w:rPr>
        <w:t>妇联</w:t>
      </w:r>
      <w:r>
        <w:rPr>
          <w:rFonts w:eastAsia="黑体"/>
          <w:sz w:val="32"/>
          <w:szCs w:val="32"/>
        </w:rPr>
        <w:t>2017年部门决算情况说明</w:t>
      </w:r>
    </w:p>
    <w:p>
      <w:pPr>
        <w:widowControl/>
        <w:spacing w:line="580" w:lineRule="exact"/>
        <w:ind w:left="640" w:firstLine="640" w:firstLineChars="200"/>
        <w:rPr>
          <w:rFonts w:eastAsia="仿宋_GB2312"/>
          <w:sz w:val="32"/>
          <w:szCs w:val="32"/>
        </w:rPr>
      </w:pPr>
      <w:r>
        <w:rPr>
          <w:rFonts w:eastAsia="仿宋_GB2312"/>
          <w:sz w:val="32"/>
          <w:szCs w:val="32"/>
        </w:rPr>
        <w:t>一、收入支出决算总体情况说明</w:t>
      </w:r>
    </w:p>
    <w:p>
      <w:pPr>
        <w:widowControl/>
        <w:spacing w:line="580" w:lineRule="exact"/>
        <w:ind w:left="640" w:firstLine="640" w:firstLineChars="200"/>
        <w:rPr>
          <w:rFonts w:eastAsia="仿宋_GB2312"/>
          <w:sz w:val="32"/>
          <w:szCs w:val="32"/>
        </w:rPr>
      </w:pPr>
      <w:r>
        <w:rPr>
          <w:rFonts w:eastAsia="仿宋_GB2312"/>
          <w:sz w:val="32"/>
          <w:szCs w:val="32"/>
        </w:rPr>
        <w:t>二、收入决算情况说明</w:t>
      </w:r>
    </w:p>
    <w:p>
      <w:pPr>
        <w:widowControl/>
        <w:spacing w:line="580" w:lineRule="exact"/>
        <w:ind w:left="640" w:firstLine="640" w:firstLineChars="200"/>
        <w:rPr>
          <w:rFonts w:eastAsia="仿宋_GB2312"/>
          <w:sz w:val="32"/>
          <w:szCs w:val="32"/>
        </w:rPr>
      </w:pPr>
      <w:r>
        <w:rPr>
          <w:rFonts w:eastAsia="仿宋_GB2312"/>
          <w:sz w:val="32"/>
          <w:szCs w:val="32"/>
        </w:rPr>
        <w:t>三、支出决算情况说明</w:t>
      </w:r>
    </w:p>
    <w:p>
      <w:pPr>
        <w:widowControl/>
        <w:spacing w:line="580" w:lineRule="exact"/>
        <w:ind w:left="640" w:firstLine="640" w:firstLineChars="200"/>
        <w:rPr>
          <w:rFonts w:eastAsia="仿宋_GB2312"/>
          <w:sz w:val="32"/>
          <w:szCs w:val="32"/>
        </w:rPr>
      </w:pPr>
      <w:r>
        <w:rPr>
          <w:rFonts w:eastAsia="仿宋_GB2312"/>
          <w:sz w:val="32"/>
          <w:szCs w:val="32"/>
        </w:rPr>
        <w:t>四、财政拨款收入支出决算总体情况说明</w:t>
      </w:r>
    </w:p>
    <w:p>
      <w:pPr>
        <w:widowControl/>
        <w:spacing w:line="580" w:lineRule="exact"/>
        <w:ind w:left="640" w:firstLine="640" w:firstLineChars="200"/>
        <w:rPr>
          <w:rFonts w:eastAsia="仿宋_GB2312"/>
          <w:sz w:val="32"/>
          <w:szCs w:val="32"/>
        </w:rPr>
      </w:pPr>
      <w:r>
        <w:rPr>
          <w:rFonts w:eastAsia="仿宋_GB2312"/>
          <w:sz w:val="32"/>
          <w:szCs w:val="32"/>
        </w:rPr>
        <w:t>五、“三公”经费支出决算情况说明</w:t>
      </w:r>
    </w:p>
    <w:p>
      <w:pPr>
        <w:widowControl/>
        <w:spacing w:line="580" w:lineRule="exact"/>
        <w:ind w:left="640" w:firstLine="640" w:firstLineChars="200"/>
        <w:rPr>
          <w:rFonts w:eastAsia="仿宋_GB2312"/>
          <w:sz w:val="32"/>
          <w:szCs w:val="32"/>
        </w:rPr>
      </w:pPr>
      <w:r>
        <w:rPr>
          <w:rFonts w:eastAsia="仿宋_GB2312"/>
          <w:sz w:val="32"/>
          <w:szCs w:val="32"/>
        </w:rPr>
        <w:t>六、预算绩效管理工作开展情况说明</w:t>
      </w:r>
    </w:p>
    <w:p>
      <w:pPr>
        <w:widowControl/>
        <w:spacing w:line="580" w:lineRule="exact"/>
        <w:ind w:left="640" w:firstLine="640" w:firstLineChars="200"/>
        <w:rPr>
          <w:rFonts w:eastAsia="仿宋_GB2312"/>
          <w:sz w:val="32"/>
          <w:szCs w:val="32"/>
        </w:rPr>
      </w:pPr>
      <w:r>
        <w:rPr>
          <w:rFonts w:eastAsia="仿宋_GB2312"/>
          <w:sz w:val="32"/>
          <w:szCs w:val="32"/>
        </w:rPr>
        <w:t>七、其他重要事项的说明</w:t>
      </w:r>
    </w:p>
    <w:p>
      <w:pPr>
        <w:widowControl/>
        <w:spacing w:line="580" w:lineRule="exact"/>
        <w:ind w:left="640" w:firstLine="1344" w:firstLineChars="420"/>
        <w:rPr>
          <w:rFonts w:eastAsia="仿宋_GB2312"/>
          <w:sz w:val="32"/>
          <w:szCs w:val="32"/>
        </w:rPr>
      </w:pPr>
      <w:r>
        <w:rPr>
          <w:rFonts w:eastAsia="仿宋_GB2312"/>
          <w:sz w:val="32"/>
          <w:szCs w:val="32"/>
        </w:rPr>
        <w:t>1.机关运行经费情况</w:t>
      </w:r>
    </w:p>
    <w:p>
      <w:pPr>
        <w:widowControl/>
        <w:spacing w:line="580" w:lineRule="exact"/>
        <w:ind w:left="640" w:firstLine="1344" w:firstLineChars="420"/>
        <w:rPr>
          <w:rFonts w:eastAsia="仿宋_GB2312"/>
          <w:sz w:val="32"/>
          <w:szCs w:val="32"/>
        </w:rPr>
      </w:pPr>
      <w:r>
        <w:rPr>
          <w:rFonts w:eastAsia="仿宋_GB2312"/>
          <w:sz w:val="32"/>
          <w:szCs w:val="32"/>
        </w:rPr>
        <w:t>2.政府采购情况</w:t>
      </w:r>
    </w:p>
    <w:p>
      <w:pPr>
        <w:widowControl/>
        <w:spacing w:line="580" w:lineRule="exact"/>
        <w:ind w:left="640" w:firstLine="1344" w:firstLineChars="420"/>
        <w:rPr>
          <w:rFonts w:eastAsia="仿宋_GB2312"/>
          <w:sz w:val="32"/>
          <w:szCs w:val="32"/>
        </w:rPr>
      </w:pPr>
      <w:r>
        <w:rPr>
          <w:rFonts w:eastAsia="仿宋_GB2312"/>
          <w:sz w:val="32"/>
          <w:szCs w:val="32"/>
        </w:rPr>
        <w:t>3.国有资产占用情况</w:t>
      </w:r>
    </w:p>
    <w:p>
      <w:pPr>
        <w:widowControl/>
        <w:spacing w:line="580" w:lineRule="exact"/>
        <w:ind w:left="640" w:firstLine="1344" w:firstLineChars="420"/>
        <w:rPr>
          <w:rFonts w:eastAsia="仿宋_GB2312"/>
          <w:sz w:val="32"/>
          <w:szCs w:val="32"/>
        </w:rPr>
      </w:pPr>
      <w:r>
        <w:rPr>
          <w:rFonts w:eastAsia="仿宋_GB2312"/>
          <w:sz w:val="32"/>
          <w:szCs w:val="32"/>
        </w:rPr>
        <w:t>4.其他需要说明的情况</w:t>
      </w:r>
    </w:p>
    <w:p>
      <w:pPr>
        <w:widowControl/>
        <w:spacing w:line="580" w:lineRule="exact"/>
        <w:ind w:firstLine="640" w:firstLineChars="200"/>
        <w:rPr>
          <w:rFonts w:eastAsia="黑体"/>
          <w:sz w:val="32"/>
          <w:szCs w:val="32"/>
        </w:rPr>
      </w:pPr>
      <w:r>
        <w:rPr>
          <w:rFonts w:eastAsia="黑体"/>
          <w:sz w:val="32"/>
          <w:szCs w:val="32"/>
        </w:rPr>
        <w:t>第四部分  名词解释</w:t>
      </w:r>
    </w:p>
    <w:p>
      <w:pPr/>
    </w:p>
    <w:p>
      <w:pPr/>
    </w:p>
    <w:p>
      <w:pPr/>
    </w:p>
    <w:p>
      <w:pPr/>
    </w:p>
    <w:p>
      <w:pPr/>
    </w:p>
    <w:p>
      <w:pPr>
        <w:pStyle w:val="2"/>
        <w:spacing w:line="560" w:lineRule="exact"/>
        <w:jc w:val="center"/>
        <w:rPr>
          <w:rFonts w:ascii="宋体" w:hAnsi="宋体" w:cs="ArialUnicodeMS"/>
          <w:color w:val="000000"/>
          <w:kern w:val="0"/>
        </w:rPr>
      </w:pPr>
      <w:r>
        <w:rPr>
          <w:rFonts w:hint="eastAsia" w:ascii="宋体" w:hAnsi="宋体" w:cs="ArialUnicodeMS"/>
          <w:color w:val="000000"/>
          <w:kern w:val="0"/>
        </w:rPr>
        <w:t>第一部分 部门概况</w:t>
      </w:r>
    </w:p>
    <w:p>
      <w:pPr>
        <w:pStyle w:val="3"/>
        <w:spacing w:before="0" w:after="0" w:line="560" w:lineRule="exact"/>
        <w:ind w:firstLine="643" w:firstLineChars="200"/>
        <w:rPr>
          <w:rFonts w:ascii="黑体" w:eastAsia="黑体" w:cs="黑体" w:hAnsiTheme="minorHAnsi"/>
          <w:kern w:val="0"/>
        </w:rPr>
      </w:pPr>
      <w:r>
        <w:rPr>
          <w:rFonts w:hint="eastAsia" w:ascii="黑体" w:eastAsia="黑体" w:cs="黑体" w:hAnsiTheme="minorHAnsi"/>
          <w:kern w:val="0"/>
        </w:rPr>
        <w:t>一、部门职责</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8"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坚持正确的政治方向，团结</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教育全</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各族各界妇女以及各类妇女组织同党中央在思想上政治上行动上保持高度一致。</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8"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紧密围绕</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委和</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政府的中心任务开展工作。团结</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动员和组织妇女群众投身改革开放和社会主义物质文明</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精神文明建设</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积极促进我</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经济发展和社会进步，为维护改革</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发展</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稳定的大局服务。</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8"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三</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宣传马克思主义妇女观和男女平等思想</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教育</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引导妇女树立正确的世界观</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人生观</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价值观</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弘扬</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自尊</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自信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自立</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自强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的精神</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积极推动和开展对妇女科技文化及生产劳动技能教育，全面提高妇女素质。</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8"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代表妇女参与国家和社会事务的民主管理和民主监督，促进妇女参政</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关注并加强研究</w:t>
      </w:r>
      <w:r>
        <w:rPr>
          <w:rFonts w:hint="eastAsia" w:ascii="仿宋_GB2312" w:hAnsi="仿宋_GB2312" w:eastAsia="仿宋_GB2312" w:cs="仿宋_GB2312"/>
          <w:sz w:val="32"/>
          <w:szCs w:val="32"/>
          <w:lang w:eastAsia="zh-CN"/>
        </w:rPr>
        <w:t>涉及</w:t>
      </w:r>
      <w:r>
        <w:rPr>
          <w:rFonts w:hint="eastAsia" w:ascii="仿宋_GB2312" w:hAnsi="仿宋_GB2312" w:eastAsia="仿宋_GB2312" w:cs="仿宋_GB2312"/>
          <w:sz w:val="32"/>
          <w:szCs w:val="32"/>
        </w:rPr>
        <w:t>妇女切身利益的热点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难点问题，及时向</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委和</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政府反映社情民意，提出对策建议</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参与有关妇女儿童政策和法律法规草案的拟定，从源头强化维护妇女儿童合法权益工作。</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8"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坚持为妇女儿童服务，为基层服务，加强与社会各界联系，协调推动全社会为妇女儿童办实事</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办好事。</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8"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（六）</w:t>
      </w:r>
      <w:r>
        <w:rPr>
          <w:rFonts w:hint="eastAsia" w:ascii="仿宋_GB2312" w:hAnsi="仿宋_GB2312" w:eastAsia="仿宋_GB2312" w:cs="仿宋_GB2312"/>
          <w:sz w:val="32"/>
          <w:szCs w:val="32"/>
        </w:rPr>
        <w:t>指导乡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镇</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街道办事处</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高新技术产业开发区妇联会</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直妇委会</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依据《中华全国妇女联合会章程》和妇女代表大会的任务，开展妇女儿童工作。</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8" w:lineRule="exact"/>
        <w:ind w:left="0" w:leftChars="0" w:right="0" w:rightChars="0"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承担鹿泉</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妇女儿童工作委员会办公室工作。</w:t>
      </w:r>
    </w:p>
    <w:p>
      <w:pPr>
        <w:autoSpaceDE w:val="0"/>
        <w:autoSpaceDN w:val="0"/>
        <w:adjustRightInd w:val="0"/>
        <w:spacing w:after="0" w:line="560" w:lineRule="exact"/>
        <w:jc w:val="left"/>
        <w:rPr>
          <w:rFonts w:ascii="仿宋_GB2312" w:eastAsia="仿宋_GB2312" w:cs="ArialUnicodeMS" w:hAnsiTheme="minorHAnsi"/>
          <w:kern w:val="0"/>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八</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承办</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委</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政府交办的有关工作。</w:t>
      </w:r>
    </w:p>
    <w:p>
      <w:pPr>
        <w:pStyle w:val="3"/>
        <w:spacing w:before="0" w:after="0" w:line="560" w:lineRule="exact"/>
        <w:ind w:firstLine="643" w:firstLineChars="200"/>
        <w:rPr>
          <w:rFonts w:ascii="黑体" w:eastAsia="黑体" w:cs="黑体" w:hAnsiTheme="minorHAnsi"/>
          <w:kern w:val="0"/>
        </w:rPr>
      </w:pPr>
      <w:r>
        <w:rPr>
          <w:rFonts w:hint="eastAsia" w:ascii="黑体" w:eastAsia="黑体" w:cs="黑体" w:hAnsiTheme="minorHAnsi"/>
          <w:kern w:val="0"/>
        </w:rPr>
        <w:t>二、部门决算单位构成</w:t>
      </w:r>
    </w:p>
    <w:p>
      <w:pPr>
        <w:autoSpaceDE w:val="0"/>
        <w:autoSpaceDN w:val="0"/>
        <w:adjustRightInd w:val="0"/>
        <w:spacing w:after="0" w:line="560" w:lineRule="exact"/>
        <w:ind w:firstLine="640" w:firstLineChars="200"/>
        <w:jc w:val="left"/>
        <w:rPr>
          <w:rFonts w:ascii="仿宋_GB2312" w:eastAsia="仿宋_GB2312" w:cs="ArialUnicodeMS" w:hAnsiTheme="minorHAnsi"/>
          <w:kern w:val="0"/>
          <w:sz w:val="32"/>
          <w:szCs w:val="32"/>
        </w:rPr>
      </w:pPr>
      <w:r>
        <w:rPr>
          <w:rFonts w:hint="eastAsia" w:ascii="仿宋_GB2312" w:eastAsia="仿宋_GB2312" w:cs="ArialUnicodeMS" w:hAnsiTheme="minorHAnsi"/>
          <w:kern w:val="0"/>
          <w:sz w:val="32"/>
          <w:szCs w:val="32"/>
        </w:rPr>
        <w:t>2017 年度，纳入本部门决算汇编范围的独立核算单位</w:t>
      </w:r>
    </w:p>
    <w:p>
      <w:pPr>
        <w:autoSpaceDE w:val="0"/>
        <w:autoSpaceDN w:val="0"/>
        <w:adjustRightInd w:val="0"/>
        <w:spacing w:after="0" w:line="560" w:lineRule="exact"/>
        <w:jc w:val="left"/>
        <w:rPr>
          <w:rFonts w:hint="eastAsia" w:ascii="仿宋_GB2312" w:eastAsia="仿宋_GB2312" w:cs="ArialUnicodeMS" w:hAnsiTheme="minorHAnsi"/>
          <w:kern w:val="0"/>
          <w:sz w:val="32"/>
          <w:szCs w:val="32"/>
          <w:lang w:eastAsia="zh-CN"/>
        </w:rPr>
      </w:pPr>
      <w:r>
        <w:rPr>
          <w:rFonts w:hint="eastAsia" w:ascii="仿宋_GB2312" w:eastAsia="仿宋_GB2312" w:cs="ArialUnicodeMS" w:hAnsiTheme="minorHAnsi"/>
          <w:kern w:val="0"/>
          <w:sz w:val="32"/>
          <w:szCs w:val="32"/>
        </w:rPr>
        <w:t>（以下简称“单位”）共</w:t>
      </w:r>
      <w:r>
        <w:rPr>
          <w:rFonts w:hint="eastAsia" w:ascii="仿宋_GB2312" w:eastAsia="仿宋_GB2312" w:cs="ArialUnicodeMS" w:hAnsiTheme="minorHAnsi"/>
          <w:kern w:val="0"/>
          <w:sz w:val="32"/>
          <w:szCs w:val="32"/>
          <w:lang w:val="en-US" w:eastAsia="zh-CN"/>
        </w:rPr>
        <w:t>1</w:t>
      </w:r>
      <w:r>
        <w:rPr>
          <w:rFonts w:hint="eastAsia" w:ascii="仿宋_GB2312" w:eastAsia="仿宋_GB2312" w:cs="ArialUnicodeMS" w:hAnsiTheme="minorHAnsi"/>
          <w:kern w:val="0"/>
          <w:sz w:val="32"/>
          <w:szCs w:val="32"/>
        </w:rPr>
        <w:t>个，是</w:t>
      </w:r>
      <w:r>
        <w:rPr>
          <w:rFonts w:hint="eastAsia" w:ascii="仿宋_GB2312" w:eastAsia="仿宋_GB2312" w:cs="ArialUnicodeMS" w:hAnsiTheme="minorHAnsi"/>
          <w:kern w:val="0"/>
          <w:sz w:val="32"/>
          <w:szCs w:val="32"/>
          <w:lang w:eastAsia="zh-CN"/>
        </w:rPr>
        <w:t>鹿泉区妇女联合会</w:t>
      </w:r>
      <w:r>
        <w:rPr>
          <w:rFonts w:hint="eastAsia" w:ascii="仿宋_GB2312" w:eastAsia="仿宋_GB2312" w:cs="ArialUnicodeMS" w:hAnsiTheme="minorHAnsi"/>
          <w:kern w:val="0"/>
          <w:sz w:val="32"/>
          <w:szCs w:val="32"/>
        </w:rPr>
        <w:t xml:space="preserve"> ，单位基本性质为</w:t>
      </w:r>
      <w:r>
        <w:rPr>
          <w:rFonts w:hint="eastAsia" w:ascii="仿宋_GB2312" w:eastAsia="仿宋_GB2312" w:cs="ArialUnicodeMS" w:hAnsiTheme="minorHAnsi"/>
          <w:kern w:val="0"/>
          <w:sz w:val="32"/>
          <w:szCs w:val="32"/>
          <w:lang w:eastAsia="zh-CN"/>
        </w:rPr>
        <w:t>机关</w:t>
      </w:r>
      <w:r>
        <w:rPr>
          <w:rFonts w:hint="eastAsia" w:ascii="仿宋_GB2312" w:eastAsia="仿宋_GB2312" w:cs="ArialUnicodeMS" w:hAnsiTheme="minorHAnsi"/>
          <w:kern w:val="0"/>
          <w:sz w:val="32"/>
          <w:szCs w:val="32"/>
        </w:rPr>
        <w:t>单位，预算管理级次为</w:t>
      </w:r>
      <w:r>
        <w:rPr>
          <w:rFonts w:hint="eastAsia" w:ascii="仿宋_GB2312" w:eastAsia="仿宋_GB2312" w:cs="ArialUnicodeMS" w:hAnsiTheme="minorHAnsi"/>
          <w:kern w:val="0"/>
          <w:sz w:val="32"/>
          <w:szCs w:val="32"/>
          <w:lang w:eastAsia="zh-CN"/>
        </w:rPr>
        <w:t>一</w:t>
      </w:r>
      <w:r>
        <w:rPr>
          <w:rFonts w:hint="eastAsia" w:ascii="仿宋_GB2312" w:eastAsia="仿宋_GB2312" w:cs="ArialUnicodeMS" w:hAnsiTheme="minorHAnsi"/>
          <w:kern w:val="0"/>
          <w:sz w:val="32"/>
          <w:szCs w:val="32"/>
        </w:rPr>
        <w:t>级预算单位，执行</w:t>
      </w:r>
      <w:r>
        <w:rPr>
          <w:rFonts w:hint="eastAsia" w:ascii="仿宋_GB2312" w:eastAsia="仿宋_GB2312" w:cs="ArialUnicodeMS" w:hAnsiTheme="minorHAnsi"/>
          <w:kern w:val="0"/>
          <w:sz w:val="32"/>
          <w:szCs w:val="32"/>
          <w:lang w:eastAsia="zh-CN"/>
        </w:rPr>
        <w:t>事业</w:t>
      </w:r>
      <w:r>
        <w:rPr>
          <w:rFonts w:hint="eastAsia" w:ascii="仿宋_GB2312" w:eastAsia="仿宋_GB2312" w:cs="ArialUnicodeMS" w:hAnsiTheme="minorHAnsi"/>
          <w:kern w:val="0"/>
          <w:sz w:val="32"/>
          <w:szCs w:val="32"/>
        </w:rPr>
        <w:t>单位会计制度，较上年无增减变化</w:t>
      </w:r>
      <w:r>
        <w:rPr>
          <w:rFonts w:hint="eastAsia" w:ascii="仿宋_GB2312" w:eastAsia="仿宋_GB2312" w:cs="ArialUnicodeMS" w:hAnsiTheme="minorHAnsi"/>
          <w:kern w:val="0"/>
          <w:sz w:val="32"/>
          <w:szCs w:val="32"/>
          <w:lang w:eastAsia="zh-CN"/>
        </w:rPr>
        <w:t>。</w:t>
      </w:r>
    </w:p>
    <w:p>
      <w:pPr>
        <w:widowControl/>
        <w:spacing w:line="560" w:lineRule="exact"/>
        <w:jc w:val="center"/>
        <w:rPr>
          <w:rFonts w:ascii="黑体" w:eastAsia="黑体" w:cs="MS-UIGothic,Bold" w:hAnsiTheme="minorHAnsi"/>
          <w:bCs/>
          <w:kern w:val="0"/>
          <w:sz w:val="52"/>
          <w:szCs w:val="52"/>
        </w:rPr>
      </w:pPr>
    </w:p>
    <w:p>
      <w:pPr>
        <w:widowControl/>
        <w:spacing w:line="560" w:lineRule="exact"/>
        <w:jc w:val="center"/>
        <w:rPr>
          <w:rFonts w:ascii="黑体" w:eastAsia="黑体" w:cs="MS-UIGothic,Bold" w:hAnsiTheme="minorHAnsi"/>
          <w:bCs/>
          <w:kern w:val="0"/>
          <w:sz w:val="52"/>
          <w:szCs w:val="52"/>
        </w:rPr>
      </w:pPr>
    </w:p>
    <w:p>
      <w:pPr>
        <w:widowControl/>
        <w:spacing w:line="560" w:lineRule="exact"/>
        <w:jc w:val="center"/>
        <w:rPr>
          <w:rFonts w:ascii="黑体" w:eastAsia="黑体" w:cs="MS-UIGothic,Bold" w:hAnsiTheme="minorHAnsi"/>
          <w:bCs/>
          <w:kern w:val="0"/>
          <w:sz w:val="52"/>
          <w:szCs w:val="52"/>
        </w:rPr>
      </w:pPr>
    </w:p>
    <w:p>
      <w:pPr>
        <w:pStyle w:val="2"/>
        <w:spacing w:line="560" w:lineRule="exact"/>
        <w:jc w:val="center"/>
        <w:rPr>
          <w:rFonts w:ascii="宋体" w:hAnsi="宋体" w:cs="ArialUnicodeMS"/>
          <w:color w:val="000000"/>
          <w:kern w:val="0"/>
        </w:rPr>
      </w:pPr>
      <w:r>
        <w:rPr>
          <w:rFonts w:hint="eastAsia" w:ascii="宋体" w:hAnsi="宋体" w:cs="ArialUnicodeMS"/>
          <w:color w:val="000000"/>
          <w:kern w:val="0"/>
        </w:rPr>
        <w:t>第二部分 2017年度部门决算报表</w:t>
      </w:r>
    </w:p>
    <w:p>
      <w:pPr>
        <w:widowControl/>
        <w:spacing w:line="580" w:lineRule="exact"/>
        <w:ind w:firstLine="643" w:firstLineChars="200"/>
        <w:rPr>
          <w:rFonts w:hint="eastAsia" w:ascii="仿宋_GB2312" w:hAnsi="黑体" w:cs="Times New Roman"/>
          <w:b/>
          <w:kern w:val="2"/>
          <w:sz w:val="32"/>
          <w:szCs w:val="32"/>
        </w:rPr>
      </w:pPr>
      <w:r>
        <w:rPr>
          <w:rFonts w:hint="eastAsia" w:ascii="仿宋_GB2312" w:hAnsi="黑体" w:cs="Times New Roman"/>
          <w:b/>
          <w:kern w:val="2"/>
          <w:sz w:val="32"/>
          <w:szCs w:val="32"/>
        </w:rPr>
        <w:t>见附件：</w:t>
      </w:r>
      <w:r>
        <w:rPr>
          <w:rFonts w:hint="eastAsia" w:ascii="仿宋_GB2312" w:hAnsi="黑体" w:cs="Times New Roman"/>
          <w:b/>
          <w:kern w:val="2"/>
          <w:sz w:val="32"/>
          <w:szCs w:val="32"/>
          <w:lang w:val="en-US" w:eastAsia="zh-CN"/>
        </w:rPr>
        <w:fldChar w:fldCharType="begin"/>
      </w:r>
      <w:r>
        <w:rPr>
          <w:rFonts w:hint="eastAsia" w:ascii="仿宋_GB2312" w:hAnsi="黑体" w:cs="Times New Roman"/>
          <w:b/>
          <w:kern w:val="2"/>
          <w:sz w:val="32"/>
          <w:szCs w:val="32"/>
          <w:lang w:val="en-US" w:eastAsia="zh-CN"/>
        </w:rPr>
        <w:instrText xml:space="preserve"> HYPERLINK "石家庄市鹿泉区妇女联合会公开.XLS" </w:instrText>
      </w:r>
      <w:r>
        <w:rPr>
          <w:rFonts w:hint="eastAsia" w:ascii="仿宋_GB2312" w:hAnsi="黑体" w:cs="Times New Roman"/>
          <w:b/>
          <w:kern w:val="2"/>
          <w:sz w:val="32"/>
          <w:szCs w:val="32"/>
          <w:lang w:val="en-US" w:eastAsia="zh-CN"/>
        </w:rPr>
        <w:fldChar w:fldCharType="separate"/>
      </w:r>
      <w:r>
        <w:rPr>
          <w:rStyle w:val="14"/>
          <w:rFonts w:hint="eastAsia" w:ascii="仿宋_GB2312" w:hAnsi="黑体" w:cs="Times New Roman"/>
          <w:b/>
          <w:kern w:val="2"/>
          <w:sz w:val="32"/>
          <w:szCs w:val="32"/>
          <w:lang w:val="en-US" w:eastAsia="zh-CN"/>
        </w:rPr>
        <w:t>鹿泉区妇联</w:t>
      </w:r>
      <w:r>
        <w:rPr>
          <w:rStyle w:val="14"/>
          <w:rFonts w:hint="eastAsia" w:ascii="仿宋_GB2312" w:hAnsi="黑体" w:cs="Times New Roman"/>
          <w:b/>
          <w:kern w:val="2"/>
          <w:sz w:val="32"/>
          <w:szCs w:val="32"/>
        </w:rPr>
        <w:t>部门决算公开表</w:t>
      </w:r>
      <w:r>
        <w:rPr>
          <w:rFonts w:hint="eastAsia" w:ascii="仿宋_GB2312" w:hAnsi="黑体" w:cs="Times New Roman"/>
          <w:b/>
          <w:kern w:val="2"/>
          <w:sz w:val="32"/>
          <w:szCs w:val="32"/>
          <w:lang w:val="en-US" w:eastAsia="zh-CN"/>
        </w:rPr>
        <w:fldChar w:fldCharType="end"/>
      </w:r>
    </w:p>
    <w:p>
      <w:pPr>
        <w:pStyle w:val="2"/>
        <w:spacing w:line="560" w:lineRule="exact"/>
        <w:jc w:val="center"/>
        <w:rPr>
          <w:rFonts w:hint="eastAsia" w:cs="ArialUnicodeMS" w:asciiTheme="majorEastAsia" w:hAnsiTheme="majorEastAsia" w:eastAsiaTheme="majorEastAsia"/>
          <w:color w:val="000000"/>
          <w:kern w:val="0"/>
        </w:rPr>
      </w:pPr>
    </w:p>
    <w:p>
      <w:pPr>
        <w:pStyle w:val="2"/>
        <w:spacing w:line="560" w:lineRule="exact"/>
        <w:jc w:val="both"/>
        <w:rPr>
          <w:rFonts w:hint="eastAsia" w:cs="ArialUnicodeMS" w:asciiTheme="majorEastAsia" w:hAnsiTheme="majorEastAsia" w:eastAsiaTheme="majorEastAsia"/>
          <w:color w:val="000000"/>
          <w:kern w:val="0"/>
        </w:rPr>
      </w:pPr>
    </w:p>
    <w:p>
      <w:pPr>
        <w:rPr>
          <w:rFonts w:hint="eastAsia"/>
        </w:rPr>
      </w:pPr>
    </w:p>
    <w:p>
      <w:pPr>
        <w:pStyle w:val="2"/>
        <w:spacing w:line="560" w:lineRule="exact"/>
        <w:jc w:val="center"/>
        <w:rPr>
          <w:rFonts w:cs="ArialUnicodeMS" w:asciiTheme="majorEastAsia" w:hAnsiTheme="majorEastAsia" w:eastAsiaTheme="majorEastAsia"/>
          <w:color w:val="000000"/>
          <w:kern w:val="0"/>
        </w:rPr>
      </w:pPr>
      <w:r>
        <w:rPr>
          <w:rFonts w:hint="eastAsia" w:cs="ArialUnicodeMS" w:asciiTheme="majorEastAsia" w:hAnsiTheme="majorEastAsia" w:eastAsiaTheme="majorEastAsia"/>
          <w:color w:val="000000"/>
          <w:kern w:val="0"/>
        </w:rPr>
        <w:t>第三部分</w:t>
      </w:r>
      <w:r>
        <w:rPr>
          <w:rFonts w:cs="ArialUnicodeMS" w:asciiTheme="majorEastAsia" w:hAnsiTheme="majorEastAsia" w:eastAsiaTheme="majorEastAsia"/>
          <w:color w:val="000000"/>
          <w:kern w:val="0"/>
        </w:rPr>
        <w:t xml:space="preserve"> </w:t>
      </w:r>
      <w:r>
        <w:rPr>
          <w:rFonts w:hint="eastAsia" w:cs="ArialUnicodeMS" w:asciiTheme="majorEastAsia" w:hAnsiTheme="majorEastAsia" w:eastAsiaTheme="majorEastAsia"/>
          <w:color w:val="000000"/>
          <w:kern w:val="0"/>
        </w:rPr>
        <w:t>部门决算情况说明</w:t>
      </w:r>
    </w:p>
    <w:p>
      <w:pPr>
        <w:pStyle w:val="3"/>
        <w:spacing w:before="0" w:after="0" w:line="560" w:lineRule="exact"/>
        <w:ind w:firstLine="643" w:firstLineChars="200"/>
        <w:rPr>
          <w:rFonts w:ascii="黑体" w:eastAsia="黑体"/>
        </w:rPr>
      </w:pPr>
      <w:r>
        <w:rPr>
          <w:rFonts w:hint="eastAsia" w:ascii="黑体" w:eastAsia="黑体"/>
        </w:rPr>
        <w:t>一、收入</w:t>
      </w:r>
      <w:r>
        <w:rPr>
          <w:rFonts w:hint="eastAsia" w:ascii="黑体" w:eastAsia="黑体" w:cs="黑体" w:hAnsiTheme="minorHAnsi"/>
          <w:kern w:val="0"/>
        </w:rPr>
        <w:t>支出</w:t>
      </w:r>
      <w:r>
        <w:rPr>
          <w:rFonts w:hint="eastAsia" w:ascii="黑体" w:eastAsia="黑体"/>
        </w:rPr>
        <w:t>决算总体情况说明</w:t>
      </w:r>
    </w:p>
    <w:p>
      <w:pPr>
        <w:adjustRightInd w:val="0"/>
        <w:snapToGrid w:val="0"/>
        <w:spacing w:after="0" w:line="56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本部门2017年度年初结转和结余</w:t>
      </w:r>
      <w:r>
        <w:rPr>
          <w:rFonts w:hint="eastAsia" w:ascii="仿宋_GB2312" w:eastAsia="仿宋_GB2312" w:cs="DengXian-Regular"/>
          <w:sz w:val="32"/>
          <w:szCs w:val="32"/>
          <w:lang w:val="en-US" w:eastAsia="zh-CN"/>
        </w:rPr>
        <w:t>8.68</w:t>
      </w:r>
      <w:r>
        <w:rPr>
          <w:rFonts w:hint="eastAsia" w:ascii="仿宋_GB2312" w:eastAsia="仿宋_GB2312" w:cs="DengXian-Regular"/>
          <w:sz w:val="32"/>
          <w:szCs w:val="32"/>
        </w:rPr>
        <w:t>万元，本年收入</w:t>
      </w:r>
      <w:r>
        <w:rPr>
          <w:rFonts w:hint="eastAsia" w:ascii="仿宋_GB2312" w:eastAsia="仿宋_GB2312" w:cs="DengXian-Regular"/>
          <w:sz w:val="32"/>
          <w:szCs w:val="32"/>
          <w:lang w:val="en-US" w:eastAsia="zh-CN"/>
        </w:rPr>
        <w:t>147.27</w:t>
      </w:r>
      <w:r>
        <w:rPr>
          <w:rFonts w:hint="eastAsia" w:ascii="仿宋_GB2312" w:eastAsia="仿宋_GB2312" w:cs="DengXian-Regular"/>
          <w:sz w:val="32"/>
          <w:szCs w:val="32"/>
        </w:rPr>
        <w:t>万元；本年支出</w:t>
      </w:r>
      <w:r>
        <w:rPr>
          <w:rFonts w:hint="eastAsia" w:ascii="仿宋_GB2312" w:eastAsia="仿宋_GB2312" w:cs="DengXian-Regular"/>
          <w:sz w:val="32"/>
          <w:szCs w:val="32"/>
          <w:lang w:val="en-US" w:eastAsia="zh-CN"/>
        </w:rPr>
        <w:t>140.01</w:t>
      </w:r>
      <w:r>
        <w:rPr>
          <w:rFonts w:hint="eastAsia" w:ascii="仿宋_GB2312" w:eastAsia="仿宋_GB2312" w:cs="DengXian-Regular"/>
          <w:sz w:val="32"/>
          <w:szCs w:val="32"/>
        </w:rPr>
        <w:t>万元、年末结转和结余</w:t>
      </w:r>
      <w:r>
        <w:rPr>
          <w:rFonts w:hint="eastAsia" w:ascii="仿宋_GB2312" w:eastAsia="仿宋_GB2312" w:cs="DengXian-Regular"/>
          <w:sz w:val="32"/>
          <w:szCs w:val="32"/>
          <w:lang w:val="en-US" w:eastAsia="zh-CN"/>
        </w:rPr>
        <w:t>15.94</w:t>
      </w:r>
      <w:r>
        <w:rPr>
          <w:rFonts w:hint="eastAsia" w:ascii="仿宋_GB2312" w:eastAsia="仿宋_GB2312" w:cs="DengXian-Regular"/>
          <w:sz w:val="32"/>
          <w:szCs w:val="32"/>
        </w:rPr>
        <w:t>万元。与2016年度决算相比，本年收入增加</w:t>
      </w:r>
      <w:r>
        <w:rPr>
          <w:rFonts w:hint="eastAsia" w:ascii="仿宋_GB2312" w:eastAsia="仿宋_GB2312" w:cs="DengXian-Regular"/>
          <w:sz w:val="32"/>
          <w:szCs w:val="32"/>
          <w:lang w:val="en-US" w:eastAsia="zh-CN"/>
        </w:rPr>
        <w:t>24.02</w:t>
      </w:r>
      <w:r>
        <w:rPr>
          <w:rFonts w:hint="eastAsia" w:ascii="仿宋_GB2312" w:eastAsia="仿宋_GB2312" w:cs="DengXian-Regular"/>
          <w:sz w:val="32"/>
          <w:szCs w:val="32"/>
        </w:rPr>
        <w:t>万元，增长</w:t>
      </w:r>
      <w:r>
        <w:rPr>
          <w:rFonts w:hint="eastAsia" w:ascii="仿宋_GB2312" w:eastAsia="仿宋_GB2312" w:cs="DengXian-Regular"/>
          <w:sz w:val="32"/>
          <w:szCs w:val="32"/>
          <w:lang w:val="en-US" w:eastAsia="zh-CN"/>
        </w:rPr>
        <w:t>19.5</w:t>
      </w:r>
      <w:r>
        <w:rPr>
          <w:rFonts w:hint="eastAsia" w:ascii="仿宋_GB2312" w:eastAsia="仿宋_GB2312" w:cs="DengXian-Regular"/>
          <w:sz w:val="32"/>
          <w:szCs w:val="32"/>
        </w:rPr>
        <w:t>%，主要是承接市妇联妇女活动项目增多且本级妇女儿童经费增加，活动开展增多，工资待遇水平提高，社保经费提高，调入人员等以至于</w:t>
      </w:r>
      <w:r>
        <w:rPr>
          <w:rFonts w:hint="eastAsia" w:ascii="仿宋_GB2312" w:eastAsia="仿宋_GB2312" w:cs="DengXian-Regular"/>
          <w:sz w:val="32"/>
          <w:szCs w:val="32"/>
          <w:lang w:eastAsia="zh-CN"/>
        </w:rPr>
        <w:t>收入</w:t>
      </w:r>
      <w:r>
        <w:rPr>
          <w:rFonts w:hint="eastAsia" w:ascii="仿宋_GB2312" w:eastAsia="仿宋_GB2312" w:cs="DengXian-Regular"/>
          <w:sz w:val="32"/>
          <w:szCs w:val="32"/>
        </w:rPr>
        <w:t>增加；本年支出增加</w:t>
      </w:r>
      <w:r>
        <w:rPr>
          <w:rFonts w:hint="eastAsia" w:ascii="仿宋_GB2312" w:eastAsia="仿宋_GB2312" w:cs="DengXian-Regular"/>
          <w:sz w:val="32"/>
          <w:szCs w:val="32"/>
          <w:lang w:val="en-US" w:eastAsia="zh-CN"/>
        </w:rPr>
        <w:t>16.76</w:t>
      </w:r>
      <w:r>
        <w:rPr>
          <w:rFonts w:hint="eastAsia" w:ascii="仿宋_GB2312" w:eastAsia="仿宋_GB2312" w:cs="DengXian-Regular"/>
          <w:sz w:val="32"/>
          <w:szCs w:val="32"/>
        </w:rPr>
        <w:t>万元，增长</w:t>
      </w:r>
      <w:r>
        <w:rPr>
          <w:rFonts w:hint="eastAsia" w:ascii="仿宋_GB2312" w:eastAsia="仿宋_GB2312" w:cs="DengXian-Regular"/>
          <w:sz w:val="32"/>
          <w:szCs w:val="32"/>
          <w:lang w:val="en-US" w:eastAsia="zh-CN"/>
        </w:rPr>
        <w:t>14.2</w:t>
      </w:r>
      <w:r>
        <w:rPr>
          <w:rFonts w:hint="eastAsia" w:ascii="仿宋_GB2312" w:eastAsia="仿宋_GB2312" w:cs="DengXian-Regular"/>
          <w:sz w:val="32"/>
          <w:szCs w:val="32"/>
        </w:rPr>
        <w:t>%，主要是承接市妇联妇女活动项目增多且本级妇女儿童经费增加，活动开展增多，工资待遇水平提高，社保经费提高，调入人员等以至于支出增加。</w:t>
      </w:r>
    </w:p>
    <w:p>
      <w:pPr>
        <w:pStyle w:val="3"/>
        <w:spacing w:before="0" w:after="0" w:line="560" w:lineRule="exact"/>
        <w:ind w:firstLine="643" w:firstLineChars="200"/>
        <w:rPr>
          <w:rFonts w:ascii="黑体" w:eastAsia="黑体"/>
        </w:rPr>
      </w:pPr>
      <w:r>
        <w:rPr>
          <w:rFonts w:hint="eastAsia" w:ascii="黑体" w:eastAsia="黑体"/>
        </w:rPr>
        <w:t>二、收入决算情况说明</w:t>
      </w:r>
    </w:p>
    <w:p>
      <w:pPr>
        <w:adjustRightInd w:val="0"/>
        <w:snapToGrid w:val="0"/>
        <w:spacing w:line="56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本部门2017年度本年收入合计</w:t>
      </w:r>
      <w:r>
        <w:rPr>
          <w:rFonts w:hint="eastAsia" w:ascii="仿宋_GB2312" w:eastAsia="仿宋_GB2312" w:cs="DengXian-Regular"/>
          <w:sz w:val="32"/>
          <w:szCs w:val="32"/>
          <w:lang w:val="en-US" w:eastAsia="zh-CN"/>
        </w:rPr>
        <w:t>147.27</w:t>
      </w:r>
      <w:r>
        <w:rPr>
          <w:rFonts w:hint="eastAsia" w:ascii="仿宋_GB2312" w:eastAsia="仿宋_GB2312" w:cs="DengXian-Regular"/>
          <w:sz w:val="32"/>
          <w:szCs w:val="32"/>
        </w:rPr>
        <w:t>万元，其中：财政拨款收入</w:t>
      </w:r>
      <w:r>
        <w:rPr>
          <w:rFonts w:hint="eastAsia" w:ascii="仿宋_GB2312" w:eastAsia="仿宋_GB2312" w:cs="DengXian-Regular"/>
          <w:sz w:val="32"/>
          <w:szCs w:val="32"/>
          <w:lang w:val="en-US" w:eastAsia="zh-CN"/>
        </w:rPr>
        <w:t>147.27</w:t>
      </w:r>
      <w:r>
        <w:rPr>
          <w:rFonts w:hint="eastAsia" w:ascii="仿宋_GB2312" w:eastAsia="仿宋_GB2312" w:cs="DengXian-Regular"/>
          <w:sz w:val="32"/>
          <w:szCs w:val="32"/>
        </w:rPr>
        <w:t>万元，占</w:t>
      </w:r>
      <w:r>
        <w:rPr>
          <w:rFonts w:hint="eastAsia" w:ascii="仿宋_GB2312" w:eastAsia="仿宋_GB2312" w:cs="DengXian-Regular"/>
          <w:sz w:val="32"/>
          <w:szCs w:val="32"/>
          <w:lang w:val="en-US" w:eastAsia="zh-CN"/>
        </w:rPr>
        <w:t>100</w:t>
      </w:r>
      <w:r>
        <w:rPr>
          <w:rFonts w:hint="eastAsia" w:ascii="仿宋_GB2312" w:eastAsia="仿宋_GB2312" w:cs="DengXian-Regular"/>
          <w:sz w:val="32"/>
          <w:szCs w:val="32"/>
        </w:rPr>
        <w:t>%；事业收入</w:t>
      </w:r>
      <w:r>
        <w:rPr>
          <w:rFonts w:hint="eastAsia" w:ascii="仿宋_GB2312" w:eastAsia="仿宋_GB2312" w:cs="DengXian-Regular"/>
          <w:sz w:val="32"/>
          <w:szCs w:val="32"/>
          <w:lang w:val="en-US" w:eastAsia="zh-CN"/>
        </w:rPr>
        <w:t>0</w:t>
      </w:r>
      <w:r>
        <w:rPr>
          <w:rFonts w:hint="eastAsia" w:ascii="仿宋_GB2312" w:eastAsia="仿宋_GB2312" w:cs="DengXian-Regular"/>
          <w:sz w:val="32"/>
          <w:szCs w:val="32"/>
        </w:rPr>
        <w:t>万元，占</w:t>
      </w:r>
      <w:r>
        <w:rPr>
          <w:rFonts w:hint="eastAsia" w:ascii="仿宋_GB2312" w:eastAsia="仿宋_GB2312" w:cs="DengXian-Regular"/>
          <w:sz w:val="32"/>
          <w:szCs w:val="32"/>
          <w:lang w:val="en-US" w:eastAsia="zh-CN"/>
        </w:rPr>
        <w:t>0</w:t>
      </w:r>
      <w:r>
        <w:rPr>
          <w:rFonts w:hint="eastAsia" w:ascii="仿宋_GB2312" w:eastAsia="仿宋_GB2312" w:cs="DengXian-Regular"/>
          <w:sz w:val="32"/>
          <w:szCs w:val="32"/>
        </w:rPr>
        <w:t>%；经营收入</w:t>
      </w:r>
      <w:r>
        <w:rPr>
          <w:rFonts w:hint="eastAsia" w:ascii="仿宋_GB2312" w:eastAsia="仿宋_GB2312" w:cs="DengXian-Regular"/>
          <w:sz w:val="32"/>
          <w:szCs w:val="32"/>
          <w:lang w:val="en-US" w:eastAsia="zh-CN"/>
        </w:rPr>
        <w:t>0</w:t>
      </w:r>
      <w:r>
        <w:rPr>
          <w:rFonts w:hint="eastAsia" w:ascii="仿宋_GB2312" w:eastAsia="仿宋_GB2312" w:cs="DengXian-Regular"/>
          <w:sz w:val="32"/>
          <w:szCs w:val="32"/>
        </w:rPr>
        <w:t>万元，占</w:t>
      </w:r>
      <w:r>
        <w:rPr>
          <w:rFonts w:hint="eastAsia" w:ascii="仿宋_GB2312" w:eastAsia="仿宋_GB2312" w:cs="DengXian-Regular"/>
          <w:sz w:val="32"/>
          <w:szCs w:val="32"/>
          <w:lang w:val="en-US" w:eastAsia="zh-CN"/>
        </w:rPr>
        <w:t>0</w:t>
      </w:r>
      <w:r>
        <w:rPr>
          <w:rFonts w:hint="eastAsia" w:ascii="仿宋_GB2312" w:eastAsia="仿宋_GB2312" w:cs="DengXian-Regular"/>
          <w:sz w:val="32"/>
          <w:szCs w:val="32"/>
        </w:rPr>
        <w:t>%；其他收入</w:t>
      </w:r>
      <w:r>
        <w:rPr>
          <w:rFonts w:hint="eastAsia" w:ascii="仿宋_GB2312" w:eastAsia="仿宋_GB2312" w:cs="DengXian-Regular"/>
          <w:sz w:val="32"/>
          <w:szCs w:val="32"/>
          <w:lang w:val="en-US" w:eastAsia="zh-CN"/>
        </w:rPr>
        <w:t>0</w:t>
      </w:r>
      <w:r>
        <w:rPr>
          <w:rFonts w:hint="eastAsia" w:ascii="仿宋_GB2312" w:eastAsia="仿宋_GB2312" w:cs="DengXian-Regular"/>
          <w:sz w:val="32"/>
          <w:szCs w:val="32"/>
        </w:rPr>
        <w:t>万元，占</w:t>
      </w:r>
      <w:r>
        <w:rPr>
          <w:rFonts w:hint="eastAsia" w:ascii="仿宋_GB2312" w:eastAsia="仿宋_GB2312" w:cs="DengXian-Regular"/>
          <w:sz w:val="32"/>
          <w:szCs w:val="32"/>
          <w:lang w:val="en-US" w:eastAsia="zh-CN"/>
        </w:rPr>
        <w:t>0</w:t>
      </w:r>
      <w:r>
        <w:rPr>
          <w:rFonts w:hint="eastAsia" w:ascii="仿宋_GB2312" w:eastAsia="仿宋_GB2312" w:cs="DengXian-Regular"/>
          <w:sz w:val="32"/>
          <w:szCs w:val="32"/>
        </w:rPr>
        <w:t>%。如图所示：</w:t>
      </w:r>
    </w:p>
    <w:p>
      <w:pPr>
        <w:adjustRightInd w:val="0"/>
        <w:snapToGrid w:val="0"/>
        <w:spacing w:line="560" w:lineRule="exact"/>
        <w:ind w:firstLine="1920" w:firstLineChars="600"/>
        <w:rPr>
          <w:rFonts w:hint="eastAsia" w:ascii="仿宋_GB2312" w:eastAsia="仿宋_GB2312" w:cs="DengXian-Regular"/>
          <w:sz w:val="32"/>
          <w:szCs w:val="32"/>
          <w:lang w:eastAsia="zh-CN"/>
        </w:rPr>
      </w:pPr>
      <w:r>
        <w:rPr>
          <w:rFonts w:hint="eastAsia" w:ascii="仿宋_GB2312" w:eastAsia="仿宋_GB2312" w:cs="DengXian-Regular"/>
          <w:sz w:val="32"/>
          <w:szCs w:val="32"/>
        </w:rPr>
        <w:t>图1：收入决算结构饼状图</w:t>
      </w:r>
    </w:p>
    <w:p>
      <w:pPr>
        <w:adjustRightInd w:val="0"/>
        <w:snapToGrid w:val="0"/>
        <w:spacing w:line="56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lang w:eastAsia="zh-CN"/>
        </w:rPr>
        <w:drawing>
          <wp:anchor distT="0" distB="0" distL="114300" distR="114300" simplePos="0" relativeHeight="251658240" behindDoc="0" locked="0" layoutInCell="1" allowOverlap="1">
            <wp:simplePos x="0" y="0"/>
            <wp:positionH relativeFrom="column">
              <wp:posOffset>944245</wp:posOffset>
            </wp:positionH>
            <wp:positionV relativeFrom="paragraph">
              <wp:posOffset>34290</wp:posOffset>
            </wp:positionV>
            <wp:extent cx="2850515" cy="2324100"/>
            <wp:effectExtent l="4445" t="4445" r="21590" b="14605"/>
            <wp:wrapNone/>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4"/>
              </a:graphicData>
            </a:graphic>
          </wp:anchor>
        </w:drawing>
      </w:r>
    </w:p>
    <w:p>
      <w:pPr>
        <w:adjustRightInd w:val="0"/>
        <w:snapToGrid w:val="0"/>
        <w:spacing w:after="0" w:line="560" w:lineRule="exact"/>
        <w:ind w:firstLine="640" w:firstLineChars="200"/>
        <w:rPr>
          <w:rFonts w:ascii="仿宋_GB2312" w:eastAsia="仿宋_GB2312" w:cs="DengXian-Regular"/>
          <w:sz w:val="32"/>
          <w:szCs w:val="32"/>
        </w:rPr>
      </w:pPr>
    </w:p>
    <w:p>
      <w:pPr>
        <w:adjustRightInd w:val="0"/>
        <w:snapToGrid w:val="0"/>
        <w:spacing w:after="0" w:line="560" w:lineRule="exact"/>
        <w:ind w:firstLine="640" w:firstLineChars="200"/>
        <w:rPr>
          <w:rFonts w:ascii="仿宋_GB2312" w:eastAsia="仿宋_GB2312" w:cs="DengXian-Regular"/>
          <w:color w:val="auto"/>
          <w:sz w:val="32"/>
          <w:szCs w:val="32"/>
          <w14:textFill>
            <w14:noFill/>
          </w14:textFill>
        </w:rPr>
      </w:pPr>
    </w:p>
    <w:p>
      <w:pPr>
        <w:adjustRightInd w:val="0"/>
        <w:snapToGrid w:val="0"/>
        <w:spacing w:after="0" w:line="560" w:lineRule="exact"/>
        <w:ind w:firstLine="640" w:firstLineChars="200"/>
        <w:rPr>
          <w:rFonts w:ascii="仿宋_GB2312" w:eastAsia="仿宋_GB2312" w:cs="DengXian-Regular"/>
          <w:color w:val="auto"/>
          <w:sz w:val="32"/>
          <w:szCs w:val="32"/>
          <w14:textFill>
            <w14:noFill/>
          </w14:textFill>
        </w:rPr>
      </w:pPr>
    </w:p>
    <w:p>
      <w:pPr>
        <w:pStyle w:val="3"/>
        <w:spacing w:before="0" w:after="0" w:line="560" w:lineRule="exact"/>
        <w:ind w:firstLine="643" w:firstLineChars="200"/>
        <w:rPr>
          <w:rFonts w:ascii="黑体" w:eastAsia="黑体"/>
        </w:rPr>
      </w:pPr>
      <w:r>
        <w:rPr>
          <w:rFonts w:hint="eastAsia" w:ascii="黑体" w:eastAsia="黑体"/>
        </w:rPr>
        <w:t>三、支出决算情况说明</w:t>
      </w:r>
    </w:p>
    <w:p>
      <w:pPr>
        <w:adjustRightInd w:val="0"/>
        <w:snapToGrid w:val="0"/>
        <w:spacing w:line="56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本部门2017年度本年支出合计</w:t>
      </w:r>
      <w:r>
        <w:rPr>
          <w:rFonts w:hint="eastAsia" w:ascii="仿宋_GB2312" w:eastAsia="仿宋_GB2312" w:cs="DengXian-Regular"/>
          <w:sz w:val="32"/>
          <w:szCs w:val="32"/>
          <w:lang w:val="en-US" w:eastAsia="zh-CN"/>
        </w:rPr>
        <w:t>140.01</w:t>
      </w:r>
      <w:r>
        <w:rPr>
          <w:rFonts w:hint="eastAsia" w:ascii="仿宋_GB2312" w:eastAsia="仿宋_GB2312" w:cs="DengXian-Regular"/>
          <w:sz w:val="32"/>
          <w:szCs w:val="32"/>
        </w:rPr>
        <w:t>万元，其中：基本支出</w:t>
      </w:r>
      <w:r>
        <w:rPr>
          <w:rFonts w:hint="eastAsia" w:ascii="仿宋_GB2312" w:eastAsia="仿宋_GB2312" w:cs="DengXian-Regular"/>
          <w:sz w:val="32"/>
          <w:szCs w:val="32"/>
          <w:lang w:val="en-US" w:eastAsia="zh-CN"/>
        </w:rPr>
        <w:t>104.39</w:t>
      </w:r>
      <w:r>
        <w:rPr>
          <w:rFonts w:hint="eastAsia" w:ascii="仿宋_GB2312" w:eastAsia="仿宋_GB2312" w:cs="DengXian-Regular"/>
          <w:sz w:val="32"/>
          <w:szCs w:val="32"/>
        </w:rPr>
        <w:t>万元，占</w:t>
      </w:r>
      <w:r>
        <w:rPr>
          <w:rFonts w:hint="eastAsia" w:ascii="仿宋_GB2312" w:eastAsia="仿宋_GB2312" w:cs="DengXian-Regular"/>
          <w:sz w:val="32"/>
          <w:szCs w:val="32"/>
          <w:lang w:val="en-US" w:eastAsia="zh-CN"/>
        </w:rPr>
        <w:t>74.56</w:t>
      </w:r>
      <w:r>
        <w:rPr>
          <w:rFonts w:hint="eastAsia" w:ascii="仿宋_GB2312" w:eastAsia="仿宋_GB2312" w:cs="DengXian-Regular"/>
          <w:sz w:val="32"/>
          <w:szCs w:val="32"/>
        </w:rPr>
        <w:t>%；项目支出</w:t>
      </w:r>
      <w:r>
        <w:rPr>
          <w:rFonts w:hint="eastAsia" w:ascii="仿宋_GB2312" w:eastAsia="仿宋_GB2312" w:cs="DengXian-Regular"/>
          <w:sz w:val="32"/>
          <w:szCs w:val="32"/>
          <w:lang w:val="en-US" w:eastAsia="zh-CN"/>
        </w:rPr>
        <w:t>35.62</w:t>
      </w:r>
      <w:r>
        <w:rPr>
          <w:rFonts w:hint="eastAsia" w:ascii="仿宋_GB2312" w:eastAsia="仿宋_GB2312" w:cs="DengXian-Regular"/>
          <w:sz w:val="32"/>
          <w:szCs w:val="32"/>
        </w:rPr>
        <w:t>万元，占</w:t>
      </w:r>
      <w:r>
        <w:rPr>
          <w:rFonts w:hint="eastAsia" w:ascii="仿宋_GB2312" w:eastAsia="仿宋_GB2312" w:cs="DengXian-Regular"/>
          <w:sz w:val="32"/>
          <w:szCs w:val="32"/>
          <w:lang w:val="en-US" w:eastAsia="zh-CN"/>
        </w:rPr>
        <w:t>25.44</w:t>
      </w:r>
      <w:r>
        <w:rPr>
          <w:rFonts w:hint="eastAsia" w:ascii="仿宋_GB2312" w:eastAsia="仿宋_GB2312" w:cs="DengXian-Regular"/>
          <w:sz w:val="32"/>
          <w:szCs w:val="32"/>
        </w:rPr>
        <w:t>%；经营支出</w:t>
      </w:r>
      <w:r>
        <w:rPr>
          <w:rFonts w:hint="eastAsia" w:ascii="仿宋_GB2312" w:eastAsia="仿宋_GB2312" w:cs="DengXian-Regular"/>
          <w:sz w:val="32"/>
          <w:szCs w:val="32"/>
          <w:lang w:val="en-US" w:eastAsia="zh-CN"/>
        </w:rPr>
        <w:t>0</w:t>
      </w:r>
      <w:r>
        <w:rPr>
          <w:rFonts w:hint="eastAsia" w:ascii="仿宋_GB2312" w:eastAsia="仿宋_GB2312" w:cs="DengXian-Regular"/>
          <w:sz w:val="32"/>
          <w:szCs w:val="32"/>
        </w:rPr>
        <w:t>万元，占</w:t>
      </w:r>
      <w:r>
        <w:rPr>
          <w:rFonts w:hint="eastAsia" w:ascii="仿宋_GB2312" w:eastAsia="仿宋_GB2312" w:cs="DengXian-Regular"/>
          <w:sz w:val="32"/>
          <w:szCs w:val="32"/>
          <w:lang w:val="en-US" w:eastAsia="zh-CN"/>
        </w:rPr>
        <w:t>0</w:t>
      </w:r>
      <w:r>
        <w:rPr>
          <w:rFonts w:hint="eastAsia" w:ascii="仿宋_GB2312" w:eastAsia="仿宋_GB2312" w:cs="DengXian-Regular"/>
          <w:sz w:val="32"/>
          <w:szCs w:val="32"/>
        </w:rPr>
        <w:t>%。如图所示：</w:t>
      </w:r>
    </w:p>
    <w:p>
      <w:pPr>
        <w:adjustRightInd w:val="0"/>
        <w:snapToGrid w:val="0"/>
        <w:spacing w:line="560" w:lineRule="exact"/>
        <w:ind w:firstLine="1920" w:firstLineChars="600"/>
        <w:rPr>
          <w:rFonts w:ascii="仿宋_GB2312" w:eastAsia="仿宋_GB2312" w:cs="DengXian-Regular"/>
          <w:sz w:val="32"/>
          <w:szCs w:val="32"/>
        </w:rPr>
      </w:pPr>
      <w:r>
        <w:rPr>
          <w:rFonts w:hint="eastAsia" w:ascii="仿宋_GB2312" w:eastAsia="仿宋_GB2312" w:cs="DengXian-Regular"/>
          <w:sz w:val="32"/>
          <w:szCs w:val="32"/>
        </w:rPr>
        <w:t>图2：支出决算结构饼状图</w:t>
      </w:r>
    </w:p>
    <w:p>
      <w:pPr>
        <w:adjustRightInd w:val="0"/>
        <w:snapToGrid w:val="0"/>
        <w:spacing w:line="560" w:lineRule="exact"/>
        <w:ind w:firstLine="640" w:firstLineChars="200"/>
        <w:rPr>
          <w:rFonts w:hint="eastAsia" w:ascii="仿宋_GB2312" w:eastAsia="仿宋_GB2312" w:cs="DengXian-Regular"/>
          <w:sz w:val="32"/>
          <w:szCs w:val="32"/>
          <w:lang w:eastAsia="zh-CN"/>
        </w:rPr>
      </w:pPr>
      <w:r>
        <w:rPr>
          <w:rFonts w:hint="eastAsia" w:ascii="仿宋_GB2312" w:eastAsia="仿宋_GB2312" w:cs="DengXian-Regular"/>
          <w:sz w:val="32"/>
          <w:szCs w:val="32"/>
          <w:lang w:eastAsia="zh-CN"/>
        </w:rPr>
        <w:drawing>
          <wp:anchor distT="0" distB="0" distL="114300" distR="114300" simplePos="0" relativeHeight="251659264" behindDoc="0" locked="0" layoutInCell="1" allowOverlap="1">
            <wp:simplePos x="0" y="0"/>
            <wp:positionH relativeFrom="column">
              <wp:posOffset>810895</wp:posOffset>
            </wp:positionH>
            <wp:positionV relativeFrom="paragraph">
              <wp:posOffset>127000</wp:posOffset>
            </wp:positionV>
            <wp:extent cx="3289935" cy="2305050"/>
            <wp:effectExtent l="4445" t="4445" r="20320" b="14605"/>
            <wp:wrapNone/>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anchor>
        </w:drawing>
      </w:r>
    </w:p>
    <w:p>
      <w:pPr>
        <w:adjustRightInd w:val="0"/>
        <w:snapToGrid w:val="0"/>
        <w:spacing w:line="560" w:lineRule="exact"/>
        <w:ind w:firstLine="640" w:firstLineChars="200"/>
        <w:rPr>
          <w:rFonts w:ascii="仿宋_GB2312" w:eastAsia="仿宋_GB2312" w:cs="DengXian-Regular"/>
          <w:sz w:val="32"/>
          <w:szCs w:val="32"/>
        </w:rPr>
      </w:pPr>
    </w:p>
    <w:p>
      <w:pPr>
        <w:adjustRightInd w:val="0"/>
        <w:snapToGrid w:val="0"/>
        <w:spacing w:after="0" w:line="560" w:lineRule="exact"/>
        <w:ind w:firstLine="640" w:firstLineChars="200"/>
        <w:rPr>
          <w:rFonts w:ascii="仿宋_GB2312" w:eastAsia="仿宋_GB2312" w:cs="DengXian-Regular"/>
          <w:sz w:val="32"/>
          <w:szCs w:val="32"/>
        </w:rPr>
      </w:pPr>
    </w:p>
    <w:p>
      <w:pPr>
        <w:adjustRightInd w:val="0"/>
        <w:snapToGrid w:val="0"/>
        <w:spacing w:after="0" w:line="560" w:lineRule="exact"/>
        <w:ind w:firstLine="640" w:firstLineChars="200"/>
        <w:rPr>
          <w:rFonts w:ascii="仿宋_GB2312" w:eastAsia="仿宋_GB2312" w:cs="DengXian-Regular"/>
          <w:sz w:val="32"/>
          <w:szCs w:val="32"/>
        </w:rPr>
      </w:pPr>
    </w:p>
    <w:p>
      <w:pPr>
        <w:adjustRightInd w:val="0"/>
        <w:snapToGrid w:val="0"/>
        <w:spacing w:after="0" w:line="560" w:lineRule="exact"/>
        <w:ind w:firstLine="640" w:firstLineChars="200"/>
        <w:rPr>
          <w:rFonts w:ascii="仿宋_GB2312" w:eastAsia="仿宋_GB2312" w:cs="DengXian-Regular"/>
          <w:sz w:val="32"/>
          <w:szCs w:val="32"/>
        </w:rPr>
      </w:pPr>
    </w:p>
    <w:p>
      <w:pPr>
        <w:adjustRightInd w:val="0"/>
        <w:snapToGrid w:val="0"/>
        <w:spacing w:after="0" w:line="560" w:lineRule="exact"/>
        <w:ind w:firstLine="640" w:firstLineChars="200"/>
        <w:rPr>
          <w:rFonts w:ascii="仿宋_GB2312" w:eastAsia="仿宋_GB2312" w:cs="DengXian-Regular"/>
          <w:sz w:val="32"/>
          <w:szCs w:val="32"/>
        </w:rPr>
      </w:pPr>
    </w:p>
    <w:p>
      <w:pPr>
        <w:adjustRightInd w:val="0"/>
        <w:snapToGrid w:val="0"/>
        <w:spacing w:after="0" w:line="560" w:lineRule="exact"/>
        <w:ind w:firstLine="640" w:firstLineChars="200"/>
        <w:rPr>
          <w:rFonts w:ascii="仿宋_GB2312" w:eastAsia="仿宋_GB2312" w:cs="DengXian-Regular"/>
          <w:sz w:val="32"/>
          <w:szCs w:val="32"/>
        </w:rPr>
      </w:pPr>
    </w:p>
    <w:p>
      <w:pPr>
        <w:pStyle w:val="3"/>
        <w:spacing w:before="0" w:after="0" w:line="560" w:lineRule="exact"/>
        <w:ind w:firstLine="643" w:firstLineChars="200"/>
        <w:rPr>
          <w:rFonts w:ascii="黑体" w:eastAsia="黑体"/>
        </w:rPr>
      </w:pPr>
      <w:r>
        <w:rPr>
          <w:rFonts w:hint="eastAsia" w:ascii="黑体" w:eastAsia="黑体"/>
        </w:rPr>
        <w:t>四、</w:t>
      </w:r>
      <w:r>
        <w:rPr>
          <w:rFonts w:hint="eastAsia" w:ascii="黑体" w:eastAsia="黑体" w:cs="黑体" w:hAnsiTheme="minorHAnsi"/>
          <w:kern w:val="0"/>
        </w:rPr>
        <w:t>财政</w:t>
      </w:r>
      <w:r>
        <w:rPr>
          <w:rFonts w:hint="eastAsia" w:ascii="黑体" w:eastAsia="黑体"/>
        </w:rPr>
        <w:t>拨款收入支出决算总体情况说明</w:t>
      </w:r>
    </w:p>
    <w:p>
      <w:pPr>
        <w:spacing w:after="0" w:line="560" w:lineRule="exact"/>
        <w:ind w:firstLine="643" w:firstLineChars="200"/>
        <w:rPr>
          <w:rFonts w:ascii="楷体_GB2312" w:eastAsia="楷体_GB2312" w:cs="DengXian-Bold"/>
          <w:b/>
          <w:bCs/>
          <w:sz w:val="32"/>
          <w:szCs w:val="32"/>
        </w:rPr>
      </w:pPr>
      <w:r>
        <w:rPr>
          <w:rFonts w:hint="eastAsia" w:ascii="楷体_GB2312" w:eastAsia="楷体_GB2312" w:cs="DengXian-Bold"/>
          <w:b/>
          <w:bCs/>
          <w:sz w:val="32"/>
          <w:szCs w:val="32"/>
        </w:rPr>
        <w:t>（一）财政拨款收支与2016 年度决算对比情况</w:t>
      </w:r>
    </w:p>
    <w:p>
      <w:pPr>
        <w:adjustRightInd w:val="0"/>
        <w:snapToGrid w:val="0"/>
        <w:spacing w:after="0" w:line="560" w:lineRule="exact"/>
        <w:ind w:firstLine="640" w:firstLineChars="200"/>
        <w:rPr>
          <w:rFonts w:hint="eastAsia" w:ascii="仿宋_GB2312" w:eastAsia="仿宋_GB2312" w:cs="DengXian-Regular"/>
          <w:sz w:val="32"/>
          <w:szCs w:val="32"/>
        </w:rPr>
      </w:pPr>
      <w:r>
        <w:rPr>
          <w:rFonts w:hint="eastAsia" w:ascii="仿宋_GB2312" w:eastAsia="仿宋_GB2312" w:cs="DengXian-Regular"/>
          <w:sz w:val="32"/>
          <w:szCs w:val="32"/>
        </w:rPr>
        <w:t>本部门2017年度财政拨款收支全部为一般公共预算财政拨款收支。一般公共预算财政拨款年初结转和结余</w:t>
      </w:r>
      <w:r>
        <w:rPr>
          <w:rFonts w:hint="eastAsia" w:ascii="仿宋_GB2312" w:eastAsia="仿宋_GB2312" w:cs="DengXian-Regular"/>
          <w:sz w:val="32"/>
          <w:szCs w:val="32"/>
          <w:lang w:val="en-US" w:eastAsia="zh-CN"/>
        </w:rPr>
        <w:t>8.68</w:t>
      </w:r>
      <w:r>
        <w:rPr>
          <w:rFonts w:hint="eastAsia" w:ascii="仿宋_GB2312" w:eastAsia="仿宋_GB2312" w:cs="DengXian-Regular"/>
          <w:sz w:val="32"/>
          <w:szCs w:val="32"/>
        </w:rPr>
        <w:t>万元、本年收入</w:t>
      </w:r>
      <w:r>
        <w:rPr>
          <w:rFonts w:hint="eastAsia" w:ascii="仿宋_GB2312" w:eastAsia="仿宋_GB2312" w:cs="DengXian-Regular"/>
          <w:sz w:val="32"/>
          <w:szCs w:val="32"/>
          <w:lang w:val="en-US" w:eastAsia="zh-CN"/>
        </w:rPr>
        <w:t>147.27</w:t>
      </w:r>
      <w:r>
        <w:rPr>
          <w:rFonts w:hint="eastAsia" w:ascii="仿宋_GB2312" w:eastAsia="仿宋_GB2312" w:cs="DengXian-Regular"/>
          <w:sz w:val="32"/>
          <w:szCs w:val="32"/>
        </w:rPr>
        <w:t>万元；本年支出</w:t>
      </w:r>
      <w:r>
        <w:rPr>
          <w:rFonts w:hint="eastAsia" w:ascii="仿宋_GB2312" w:eastAsia="仿宋_GB2312" w:cs="DengXian-Regular"/>
          <w:sz w:val="32"/>
          <w:szCs w:val="32"/>
          <w:lang w:val="en-US" w:eastAsia="zh-CN"/>
        </w:rPr>
        <w:t>140.01</w:t>
      </w:r>
      <w:r>
        <w:rPr>
          <w:rFonts w:hint="eastAsia" w:ascii="仿宋_GB2312" w:eastAsia="仿宋_GB2312" w:cs="DengXian-Regular"/>
          <w:sz w:val="32"/>
          <w:szCs w:val="32"/>
        </w:rPr>
        <w:t>万元、年末结转和结余</w:t>
      </w:r>
      <w:r>
        <w:rPr>
          <w:rFonts w:hint="eastAsia" w:ascii="仿宋_GB2312" w:eastAsia="仿宋_GB2312" w:cs="DengXian-Regular"/>
          <w:sz w:val="32"/>
          <w:szCs w:val="32"/>
          <w:lang w:val="en-US" w:eastAsia="zh-CN"/>
        </w:rPr>
        <w:t>15.94</w:t>
      </w:r>
      <w:r>
        <w:rPr>
          <w:rFonts w:hint="eastAsia" w:ascii="仿宋_GB2312" w:eastAsia="仿宋_GB2312" w:cs="DengXian-Regular"/>
          <w:sz w:val="32"/>
          <w:szCs w:val="32"/>
        </w:rPr>
        <w:t>万元。与2016年度决算相比，一般公共预算财政拨款本年收入增加</w:t>
      </w:r>
      <w:r>
        <w:rPr>
          <w:rFonts w:hint="eastAsia" w:ascii="仿宋_GB2312" w:eastAsia="仿宋_GB2312" w:cs="DengXian-Regular"/>
          <w:sz w:val="32"/>
          <w:szCs w:val="32"/>
          <w:lang w:val="en-US" w:eastAsia="zh-CN"/>
        </w:rPr>
        <w:t>24.02</w:t>
      </w:r>
      <w:r>
        <w:rPr>
          <w:rFonts w:hint="eastAsia" w:ascii="仿宋_GB2312" w:eastAsia="仿宋_GB2312" w:cs="DengXian-Regular"/>
          <w:sz w:val="32"/>
          <w:szCs w:val="32"/>
        </w:rPr>
        <w:t>万元，增长</w:t>
      </w:r>
      <w:r>
        <w:rPr>
          <w:rFonts w:hint="eastAsia" w:ascii="仿宋_GB2312" w:eastAsia="仿宋_GB2312" w:cs="DengXian-Regular"/>
          <w:sz w:val="32"/>
          <w:szCs w:val="32"/>
          <w:lang w:val="en-US" w:eastAsia="zh-CN"/>
        </w:rPr>
        <w:t>19.5</w:t>
      </w:r>
      <w:r>
        <w:rPr>
          <w:rFonts w:hint="eastAsia" w:ascii="仿宋_GB2312" w:eastAsia="仿宋_GB2312" w:cs="DengXian-Regular"/>
          <w:sz w:val="32"/>
          <w:szCs w:val="32"/>
        </w:rPr>
        <w:t>%，主要是承接市妇联妇女活动项目增多且本级妇女儿童经费增加，活动开展增多，工资待遇水平提高，社保经费提高，调入人员等以至于</w:t>
      </w:r>
      <w:r>
        <w:rPr>
          <w:rFonts w:hint="eastAsia" w:ascii="仿宋_GB2312" w:eastAsia="仿宋_GB2312" w:cs="DengXian-Regular"/>
          <w:sz w:val="32"/>
          <w:szCs w:val="32"/>
          <w:lang w:eastAsia="zh-CN"/>
        </w:rPr>
        <w:t>收入</w:t>
      </w:r>
      <w:r>
        <w:rPr>
          <w:rFonts w:hint="eastAsia" w:ascii="仿宋_GB2312" w:eastAsia="仿宋_GB2312" w:cs="DengXian-Regular"/>
          <w:sz w:val="32"/>
          <w:szCs w:val="32"/>
        </w:rPr>
        <w:t>增加；本年支出增加</w:t>
      </w:r>
      <w:r>
        <w:rPr>
          <w:rFonts w:hint="eastAsia" w:ascii="仿宋_GB2312" w:eastAsia="仿宋_GB2312" w:cs="DengXian-Regular"/>
          <w:sz w:val="32"/>
          <w:szCs w:val="32"/>
          <w:lang w:val="en-US" w:eastAsia="zh-CN"/>
        </w:rPr>
        <w:t>16.76</w:t>
      </w:r>
      <w:r>
        <w:rPr>
          <w:rFonts w:hint="eastAsia" w:ascii="仿宋_GB2312" w:eastAsia="仿宋_GB2312" w:cs="DengXian-Regular"/>
          <w:sz w:val="32"/>
          <w:szCs w:val="32"/>
        </w:rPr>
        <w:t>万元，增长</w:t>
      </w:r>
      <w:r>
        <w:rPr>
          <w:rFonts w:hint="eastAsia" w:ascii="仿宋_GB2312" w:eastAsia="仿宋_GB2312" w:cs="DengXian-Regular"/>
          <w:sz w:val="32"/>
          <w:szCs w:val="32"/>
          <w:lang w:val="en-US" w:eastAsia="zh-CN"/>
        </w:rPr>
        <w:t>14.2</w:t>
      </w:r>
      <w:r>
        <w:rPr>
          <w:rFonts w:hint="eastAsia" w:ascii="仿宋_GB2312" w:eastAsia="仿宋_GB2312" w:cs="DengXian-Regular"/>
          <w:sz w:val="32"/>
          <w:szCs w:val="32"/>
        </w:rPr>
        <w:t>%，主要是承接市妇联妇女活动项目增多且本级妇女儿童经费增加，活动开展增多，工资待遇水平提高，社保经费提高，调入人员等以至于支出增加。</w:t>
      </w:r>
    </w:p>
    <w:p>
      <w:pPr>
        <w:spacing w:after="0" w:line="560" w:lineRule="exact"/>
        <w:ind w:firstLine="643" w:firstLineChars="200"/>
        <w:rPr>
          <w:rFonts w:ascii="仿宋_GB2312" w:eastAsia="仿宋_GB2312" w:cs="DengXian-Bold"/>
          <w:b/>
          <w:bCs/>
          <w:color w:val="auto"/>
          <w:sz w:val="32"/>
          <w:szCs w:val="32"/>
        </w:rPr>
      </w:pPr>
      <w:r>
        <w:rPr>
          <w:rFonts w:hint="eastAsia" w:ascii="楷体_GB2312" w:eastAsia="楷体_GB2312" w:cs="DengXian-Bold"/>
          <w:b/>
          <w:bCs/>
          <w:color w:val="auto"/>
          <w:sz w:val="32"/>
          <w:szCs w:val="32"/>
        </w:rPr>
        <w:t>（二）财政拨款收支与年初预算数对比情况</w:t>
      </w:r>
    </w:p>
    <w:p>
      <w:pPr>
        <w:adjustRightInd w:val="0"/>
        <w:snapToGrid w:val="0"/>
        <w:spacing w:after="0" w:line="560" w:lineRule="exact"/>
        <w:ind w:firstLine="640" w:firstLineChars="200"/>
        <w:rPr>
          <w:rFonts w:ascii="仿宋_GB2312" w:eastAsia="仿宋_GB2312" w:cs="DengXian-Regular"/>
          <w:color w:val="auto"/>
          <w:sz w:val="32"/>
          <w:szCs w:val="32"/>
        </w:rPr>
      </w:pPr>
      <w:r>
        <w:rPr>
          <w:rFonts w:hint="eastAsia" w:ascii="仿宋_GB2312" w:eastAsia="仿宋_GB2312" w:cs="DengXian-Regular"/>
          <w:color w:val="auto"/>
          <w:sz w:val="32"/>
          <w:szCs w:val="32"/>
        </w:rPr>
        <w:t>本部门2017年度一般公共预算财政拨款本年收入较2017年初预算增加</w:t>
      </w:r>
      <w:r>
        <w:rPr>
          <w:rFonts w:hint="eastAsia" w:ascii="仿宋_GB2312" w:eastAsia="仿宋_GB2312" w:cs="DengXian-Regular"/>
          <w:color w:val="auto"/>
          <w:sz w:val="32"/>
          <w:szCs w:val="32"/>
          <w:lang w:val="en-US" w:eastAsia="zh-CN"/>
        </w:rPr>
        <w:t>41.24</w:t>
      </w:r>
      <w:r>
        <w:rPr>
          <w:rFonts w:hint="eastAsia" w:ascii="仿宋_GB2312" w:eastAsia="仿宋_GB2312" w:cs="DengXian-Regular"/>
          <w:color w:val="auto"/>
          <w:sz w:val="32"/>
          <w:szCs w:val="32"/>
        </w:rPr>
        <w:t>万元，增长</w:t>
      </w:r>
      <w:r>
        <w:rPr>
          <w:rFonts w:hint="eastAsia" w:ascii="仿宋_GB2312" w:eastAsia="仿宋_GB2312" w:cs="DengXian-Regular"/>
          <w:color w:val="auto"/>
          <w:sz w:val="32"/>
          <w:szCs w:val="32"/>
          <w:lang w:val="en-US" w:eastAsia="zh-CN"/>
        </w:rPr>
        <w:t>38.9</w:t>
      </w:r>
      <w:r>
        <w:rPr>
          <w:rFonts w:hint="eastAsia" w:ascii="仿宋_GB2312" w:eastAsia="仿宋_GB2312" w:cs="DengXian-Regular"/>
          <w:color w:val="auto"/>
          <w:sz w:val="32"/>
          <w:szCs w:val="32"/>
        </w:rPr>
        <w:t>%，主要是承接市妇联妇女活动项目增多且本级妇女儿童经费增加，活动开展增多，工资待遇水平提高，社保经费提高，调入人员等以至于</w:t>
      </w:r>
      <w:r>
        <w:rPr>
          <w:rFonts w:hint="eastAsia" w:ascii="仿宋_GB2312" w:eastAsia="仿宋_GB2312" w:cs="DengXian-Regular"/>
          <w:color w:val="auto"/>
          <w:sz w:val="32"/>
          <w:szCs w:val="32"/>
          <w:lang w:eastAsia="zh-CN"/>
        </w:rPr>
        <w:t>收入</w:t>
      </w:r>
      <w:r>
        <w:rPr>
          <w:rFonts w:hint="eastAsia" w:ascii="仿宋_GB2312" w:eastAsia="仿宋_GB2312" w:cs="DengXian-Regular"/>
          <w:color w:val="auto"/>
          <w:sz w:val="32"/>
          <w:szCs w:val="32"/>
        </w:rPr>
        <w:t>增加；本年支出增加</w:t>
      </w:r>
      <w:r>
        <w:rPr>
          <w:rFonts w:hint="eastAsia" w:ascii="仿宋_GB2312" w:eastAsia="仿宋_GB2312" w:cs="DengXian-Regular"/>
          <w:color w:val="auto"/>
          <w:sz w:val="32"/>
          <w:szCs w:val="32"/>
          <w:lang w:val="en-US" w:eastAsia="zh-CN"/>
        </w:rPr>
        <w:t>33.98</w:t>
      </w:r>
      <w:r>
        <w:rPr>
          <w:rFonts w:hint="eastAsia" w:ascii="仿宋_GB2312" w:eastAsia="仿宋_GB2312" w:cs="DengXian-Regular"/>
          <w:color w:val="auto"/>
          <w:sz w:val="32"/>
          <w:szCs w:val="32"/>
        </w:rPr>
        <w:t>万元，增长</w:t>
      </w:r>
      <w:r>
        <w:rPr>
          <w:rFonts w:hint="eastAsia" w:ascii="仿宋_GB2312" w:eastAsia="仿宋_GB2312" w:cs="DengXian-Regular"/>
          <w:color w:val="auto"/>
          <w:sz w:val="32"/>
          <w:szCs w:val="32"/>
          <w:lang w:val="en-US" w:eastAsia="zh-CN"/>
        </w:rPr>
        <w:t>32.05</w:t>
      </w:r>
      <w:r>
        <w:rPr>
          <w:rFonts w:hint="eastAsia" w:ascii="仿宋_GB2312" w:eastAsia="仿宋_GB2312" w:cs="DengXian-Regular"/>
          <w:color w:val="auto"/>
          <w:sz w:val="32"/>
          <w:szCs w:val="32"/>
        </w:rPr>
        <w:t>%，主要是承接市妇联妇女活动项目增多且本级妇女儿童经费增加，活动开展增多，工资待遇水平提高，社保经费提高，调入人员等以至于支出增加。</w:t>
      </w:r>
    </w:p>
    <w:p>
      <w:pPr>
        <w:pStyle w:val="3"/>
        <w:spacing w:before="0" w:after="0" w:line="560" w:lineRule="exact"/>
        <w:ind w:firstLine="643" w:firstLineChars="200"/>
        <w:rPr>
          <w:rFonts w:ascii="黑体" w:eastAsia="黑体"/>
        </w:rPr>
      </w:pPr>
      <w:r>
        <w:rPr>
          <w:rFonts w:hint="eastAsia" w:ascii="黑体" w:eastAsia="黑体"/>
        </w:rPr>
        <w:t>五、“三公” 经费支出决算情况说明</w:t>
      </w:r>
    </w:p>
    <w:p>
      <w:pPr>
        <w:adjustRightInd w:val="0"/>
        <w:snapToGrid w:val="0"/>
        <w:spacing w:after="0" w:line="56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本部门2017年度“三公”经费支出共计</w:t>
      </w:r>
      <w:r>
        <w:rPr>
          <w:rFonts w:hint="eastAsia" w:ascii="仿宋_GB2312" w:eastAsia="仿宋_GB2312" w:cs="DengXian-Regular"/>
          <w:sz w:val="32"/>
          <w:szCs w:val="32"/>
          <w:lang w:val="en-US" w:eastAsia="zh-CN"/>
        </w:rPr>
        <w:t>2.22</w:t>
      </w:r>
      <w:r>
        <w:rPr>
          <w:rFonts w:hint="eastAsia" w:ascii="仿宋_GB2312" w:eastAsia="仿宋_GB2312" w:cs="DengXian-Regular"/>
          <w:sz w:val="32"/>
          <w:szCs w:val="32"/>
        </w:rPr>
        <w:t>万元，较年初预算减少</w:t>
      </w:r>
      <w:r>
        <w:rPr>
          <w:rFonts w:hint="eastAsia" w:ascii="仿宋_GB2312" w:eastAsia="仿宋_GB2312" w:cs="DengXian-Regular"/>
          <w:sz w:val="32"/>
          <w:szCs w:val="32"/>
          <w:lang w:val="en-US" w:eastAsia="zh-CN"/>
        </w:rPr>
        <w:t>0.48</w:t>
      </w:r>
      <w:r>
        <w:rPr>
          <w:rFonts w:hint="eastAsia" w:ascii="仿宋_GB2312" w:eastAsia="仿宋_GB2312" w:cs="DengXian-Regular"/>
          <w:sz w:val="32"/>
          <w:szCs w:val="32"/>
        </w:rPr>
        <w:t>万元，降低</w:t>
      </w:r>
      <w:r>
        <w:rPr>
          <w:rFonts w:hint="eastAsia" w:ascii="仿宋_GB2312" w:eastAsia="仿宋_GB2312" w:cs="DengXian-Regular"/>
          <w:sz w:val="32"/>
          <w:szCs w:val="32"/>
          <w:lang w:val="en-US" w:eastAsia="zh-CN"/>
        </w:rPr>
        <w:t>17.78</w:t>
      </w:r>
      <w:r>
        <w:rPr>
          <w:rFonts w:hint="eastAsia" w:ascii="仿宋_GB2312" w:eastAsia="仿宋_GB2312" w:cs="DengXian-Regular"/>
          <w:sz w:val="32"/>
          <w:szCs w:val="32"/>
        </w:rPr>
        <w:t>%，主要是</w:t>
      </w:r>
      <w:r>
        <w:rPr>
          <w:rFonts w:hint="eastAsia" w:ascii="仿宋_GB2312" w:eastAsia="仿宋_GB2312" w:cs="DengXian-Regular"/>
          <w:sz w:val="32"/>
          <w:szCs w:val="32"/>
          <w:lang w:eastAsia="zh-CN"/>
        </w:rPr>
        <w:t>减少公车使用次数</w:t>
      </w:r>
      <w:r>
        <w:rPr>
          <w:rFonts w:hint="eastAsia" w:ascii="仿宋_GB2312" w:eastAsia="仿宋_GB2312" w:cs="DengXian-Regular"/>
          <w:sz w:val="32"/>
          <w:szCs w:val="32"/>
        </w:rPr>
        <w:t>；较2016年度决算减少</w:t>
      </w:r>
      <w:r>
        <w:rPr>
          <w:rFonts w:hint="eastAsia" w:ascii="仿宋_GB2312" w:eastAsia="仿宋_GB2312" w:cs="DengXian-Regular"/>
          <w:sz w:val="32"/>
          <w:szCs w:val="32"/>
          <w:lang w:val="en-US" w:eastAsia="zh-CN"/>
        </w:rPr>
        <w:t>0.47</w:t>
      </w:r>
      <w:r>
        <w:rPr>
          <w:rFonts w:hint="eastAsia" w:ascii="仿宋_GB2312" w:eastAsia="仿宋_GB2312" w:cs="DengXian-Regular"/>
          <w:sz w:val="32"/>
          <w:szCs w:val="32"/>
        </w:rPr>
        <w:t>万元，降低</w:t>
      </w:r>
      <w:r>
        <w:rPr>
          <w:rFonts w:hint="eastAsia" w:ascii="仿宋_GB2312" w:eastAsia="仿宋_GB2312" w:cs="DengXian-Regular"/>
          <w:sz w:val="32"/>
          <w:szCs w:val="32"/>
          <w:lang w:val="en-US" w:eastAsia="zh-CN"/>
        </w:rPr>
        <w:t>17.47</w:t>
      </w:r>
      <w:r>
        <w:rPr>
          <w:rFonts w:hint="eastAsia" w:ascii="仿宋_GB2312" w:eastAsia="仿宋_GB2312" w:cs="DengXian-Regular"/>
          <w:sz w:val="32"/>
          <w:szCs w:val="32"/>
        </w:rPr>
        <w:t>%，主要是</w:t>
      </w:r>
      <w:r>
        <w:rPr>
          <w:rFonts w:hint="eastAsia" w:ascii="仿宋_GB2312" w:eastAsia="仿宋_GB2312" w:cs="DengXian-Regular"/>
          <w:sz w:val="32"/>
          <w:szCs w:val="32"/>
          <w:lang w:eastAsia="zh-CN"/>
        </w:rPr>
        <w:t>减少公车使用次数</w:t>
      </w:r>
      <w:r>
        <w:rPr>
          <w:rFonts w:hint="eastAsia" w:ascii="仿宋_GB2312" w:eastAsia="仿宋_GB2312" w:cs="DengXian-Regular"/>
          <w:sz w:val="32"/>
          <w:szCs w:val="32"/>
        </w:rPr>
        <w:t>。具体情况如下：</w:t>
      </w:r>
    </w:p>
    <w:p>
      <w:pPr>
        <w:numPr>
          <w:ilvl w:val="0"/>
          <w:numId w:val="1"/>
        </w:numPr>
        <w:adjustRightInd w:val="0"/>
        <w:snapToGrid w:val="0"/>
        <w:spacing w:after="0" w:line="560" w:lineRule="exact"/>
        <w:ind w:firstLine="643" w:firstLineChars="200"/>
        <w:rPr>
          <w:rFonts w:ascii="仿宋_GB2312" w:eastAsia="仿宋_GB2312" w:cs="DengXian-Bold"/>
          <w:b/>
          <w:bCs/>
          <w:sz w:val="32"/>
          <w:szCs w:val="32"/>
        </w:rPr>
      </w:pPr>
      <w:r>
        <w:rPr>
          <w:rFonts w:hint="eastAsia" w:ascii="楷体_GB2312" w:eastAsia="楷体_GB2312" w:cs="DengXian-Bold"/>
          <w:b/>
          <w:bCs/>
          <w:sz w:val="32"/>
          <w:szCs w:val="32"/>
        </w:rPr>
        <w:t>因公出国（境）费支出</w:t>
      </w:r>
      <w:r>
        <w:rPr>
          <w:rFonts w:hint="eastAsia" w:ascii="楷体_GB2312" w:eastAsia="楷体_GB2312" w:cs="DengXian-Bold"/>
          <w:b/>
          <w:bCs/>
          <w:sz w:val="32"/>
          <w:szCs w:val="32"/>
          <w:lang w:val="en-US" w:eastAsia="zh-CN"/>
        </w:rPr>
        <w:t>0</w:t>
      </w:r>
      <w:r>
        <w:rPr>
          <w:rFonts w:hint="eastAsia" w:ascii="楷体_GB2312" w:eastAsia="楷体_GB2312" w:cs="DengXian-Bold"/>
          <w:b/>
          <w:bCs/>
          <w:sz w:val="32"/>
          <w:szCs w:val="32"/>
        </w:rPr>
        <w:t>万元。</w:t>
      </w:r>
      <w:r>
        <w:rPr>
          <w:rFonts w:hint="eastAsia" w:ascii="仿宋_GB2312" w:eastAsia="仿宋_GB2312" w:cs="DengXian-Regular"/>
          <w:sz w:val="32"/>
          <w:szCs w:val="32"/>
        </w:rPr>
        <w:t>本部门2017年度参加其他单位组织的因公出国（境）团组</w:t>
      </w:r>
      <w:r>
        <w:rPr>
          <w:rFonts w:hint="eastAsia" w:ascii="仿宋_GB2312" w:eastAsia="仿宋_GB2312" w:cs="DengXian-Regular"/>
          <w:sz w:val="32"/>
          <w:szCs w:val="32"/>
          <w:lang w:val="en-US" w:eastAsia="zh-CN"/>
        </w:rPr>
        <w:t>0</w:t>
      </w:r>
      <w:r>
        <w:rPr>
          <w:rFonts w:hint="eastAsia" w:ascii="仿宋_GB2312" w:eastAsia="仿宋_GB2312" w:cs="DengXian-Regular"/>
          <w:sz w:val="32"/>
          <w:szCs w:val="32"/>
        </w:rPr>
        <w:t>个、共</w:t>
      </w:r>
      <w:r>
        <w:rPr>
          <w:rFonts w:hint="eastAsia" w:ascii="仿宋_GB2312" w:eastAsia="仿宋_GB2312" w:cs="DengXian-Regular"/>
          <w:sz w:val="32"/>
          <w:szCs w:val="32"/>
          <w:lang w:val="en-US" w:eastAsia="zh-CN"/>
        </w:rPr>
        <w:t>0</w:t>
      </w:r>
      <w:r>
        <w:rPr>
          <w:rFonts w:hint="eastAsia" w:ascii="仿宋_GB2312" w:eastAsia="仿宋_GB2312" w:cs="DengXian-Regular"/>
          <w:sz w:val="32"/>
          <w:szCs w:val="32"/>
        </w:rPr>
        <w:t>人</w:t>
      </w:r>
      <w:r>
        <w:rPr>
          <w:rFonts w:hint="eastAsia" w:ascii="仿宋_GB2312" w:eastAsia="仿宋_GB2312" w:cs="DengXian-Regular"/>
          <w:sz w:val="32"/>
          <w:szCs w:val="32"/>
          <w:lang w:eastAsia="zh-CN"/>
        </w:rPr>
        <w:t>，</w:t>
      </w:r>
      <w:r>
        <w:rPr>
          <w:rFonts w:hint="eastAsia" w:ascii="仿宋_GB2312" w:eastAsia="仿宋_GB2312" w:cs="DengXian-Regular"/>
          <w:sz w:val="32"/>
          <w:szCs w:val="32"/>
        </w:rPr>
        <w:t>无本单位组织的出国（境）团组。</w:t>
      </w:r>
      <w:r>
        <w:rPr>
          <w:rFonts w:hint="eastAsia" w:ascii="仿宋_GB2312" w:eastAsia="仿宋_GB2312" w:cs="DengXian-Regular"/>
          <w:sz w:val="32"/>
          <w:szCs w:val="32"/>
          <w:lang w:eastAsia="zh-CN"/>
        </w:rPr>
        <w:t>较</w:t>
      </w:r>
      <w:r>
        <w:rPr>
          <w:rFonts w:hint="eastAsia" w:ascii="仿宋_GB2312" w:eastAsia="仿宋_GB2312" w:cs="DengXian-Regular"/>
          <w:sz w:val="32"/>
          <w:szCs w:val="32"/>
          <w:lang w:val="en-US" w:eastAsia="zh-CN"/>
        </w:rPr>
        <w:t>2016年无变化。</w:t>
      </w:r>
      <w:r>
        <w:rPr>
          <w:rFonts w:hint="eastAsia" w:ascii="楷体_GB2312" w:eastAsia="楷体_GB2312" w:cs="DengXian-Bold"/>
          <w:b/>
          <w:bCs/>
          <w:sz w:val="32"/>
          <w:szCs w:val="32"/>
        </w:rPr>
        <w:t>（二）公务用车购置及运行维护费支出</w:t>
      </w:r>
      <w:r>
        <w:rPr>
          <w:rFonts w:hint="eastAsia" w:ascii="楷体_GB2312" w:eastAsia="楷体_GB2312" w:cs="DengXian-Bold"/>
          <w:b/>
          <w:bCs/>
          <w:sz w:val="32"/>
          <w:szCs w:val="32"/>
          <w:lang w:val="en-US" w:eastAsia="zh-CN"/>
        </w:rPr>
        <w:t>2.22</w:t>
      </w:r>
      <w:r>
        <w:rPr>
          <w:rFonts w:hint="eastAsia" w:ascii="楷体_GB2312" w:eastAsia="楷体_GB2312" w:cs="DengXian-Bold"/>
          <w:b/>
          <w:bCs/>
          <w:sz w:val="32"/>
          <w:szCs w:val="32"/>
        </w:rPr>
        <w:t>万元。</w:t>
      </w:r>
      <w:r>
        <w:rPr>
          <w:rFonts w:hint="eastAsia" w:ascii="仿宋_GB2312" w:eastAsia="仿宋_GB2312" w:cs="DengXian-Regular"/>
          <w:sz w:val="32"/>
          <w:szCs w:val="32"/>
        </w:rPr>
        <w:t>本部门2017年度公务用车购置及运行维护费较年初预算减少</w:t>
      </w:r>
      <w:r>
        <w:rPr>
          <w:rFonts w:hint="eastAsia" w:ascii="仿宋_GB2312" w:eastAsia="仿宋_GB2312" w:cs="DengXian-Regular"/>
          <w:sz w:val="32"/>
          <w:szCs w:val="32"/>
          <w:lang w:val="en-US" w:eastAsia="zh-CN"/>
        </w:rPr>
        <w:t>0.48</w:t>
      </w:r>
      <w:r>
        <w:rPr>
          <w:rFonts w:hint="eastAsia" w:ascii="仿宋_GB2312" w:eastAsia="仿宋_GB2312" w:cs="DengXian-Regular"/>
          <w:sz w:val="32"/>
          <w:szCs w:val="32"/>
        </w:rPr>
        <w:t>万元，降低</w:t>
      </w:r>
      <w:r>
        <w:rPr>
          <w:rFonts w:hint="eastAsia" w:ascii="仿宋_GB2312" w:eastAsia="仿宋_GB2312" w:cs="DengXian-Regular"/>
          <w:sz w:val="32"/>
          <w:szCs w:val="32"/>
          <w:lang w:val="en-US" w:eastAsia="zh-CN"/>
        </w:rPr>
        <w:t>17.78</w:t>
      </w:r>
      <w:r>
        <w:rPr>
          <w:rFonts w:hint="eastAsia" w:ascii="仿宋_GB2312" w:eastAsia="仿宋_GB2312" w:cs="DengXian-Regular"/>
          <w:sz w:val="32"/>
          <w:szCs w:val="32"/>
        </w:rPr>
        <w:t>%，主要是</w:t>
      </w:r>
      <w:r>
        <w:rPr>
          <w:rFonts w:hint="eastAsia" w:ascii="仿宋_GB2312" w:eastAsia="仿宋_GB2312" w:cs="DengXian-Regular"/>
          <w:sz w:val="32"/>
          <w:szCs w:val="32"/>
          <w:lang w:eastAsia="zh-CN"/>
        </w:rPr>
        <w:t>减少公车使用次数</w:t>
      </w:r>
      <w:r>
        <w:rPr>
          <w:rFonts w:hint="eastAsia" w:ascii="仿宋_GB2312" w:eastAsia="仿宋_GB2312" w:cs="DengXian-Regular"/>
          <w:sz w:val="32"/>
          <w:szCs w:val="32"/>
        </w:rPr>
        <w:t>；较2016年度决算减少</w:t>
      </w:r>
      <w:r>
        <w:rPr>
          <w:rFonts w:hint="eastAsia" w:ascii="仿宋_GB2312" w:eastAsia="仿宋_GB2312" w:cs="DengXian-Regular"/>
          <w:sz w:val="32"/>
          <w:szCs w:val="32"/>
          <w:lang w:val="en-US" w:eastAsia="zh-CN"/>
        </w:rPr>
        <w:t>0.47</w:t>
      </w:r>
      <w:r>
        <w:rPr>
          <w:rFonts w:hint="eastAsia" w:ascii="仿宋_GB2312" w:eastAsia="仿宋_GB2312" w:cs="DengXian-Regular"/>
          <w:sz w:val="32"/>
          <w:szCs w:val="32"/>
        </w:rPr>
        <w:t>万元，降低</w:t>
      </w:r>
      <w:r>
        <w:rPr>
          <w:rFonts w:hint="eastAsia" w:ascii="仿宋_GB2312" w:eastAsia="仿宋_GB2312" w:cs="DengXian-Regular"/>
          <w:sz w:val="32"/>
          <w:szCs w:val="32"/>
          <w:lang w:val="en-US" w:eastAsia="zh-CN"/>
        </w:rPr>
        <w:t>17.47</w:t>
      </w:r>
      <w:r>
        <w:rPr>
          <w:rFonts w:hint="eastAsia" w:ascii="仿宋_GB2312" w:eastAsia="仿宋_GB2312" w:cs="DengXian-Regular"/>
          <w:sz w:val="32"/>
          <w:szCs w:val="32"/>
        </w:rPr>
        <w:t>%，主要是</w:t>
      </w:r>
      <w:r>
        <w:rPr>
          <w:rFonts w:hint="eastAsia" w:ascii="仿宋_GB2312" w:eastAsia="仿宋_GB2312" w:cs="DengXian-Regular"/>
          <w:sz w:val="32"/>
          <w:szCs w:val="32"/>
          <w:lang w:eastAsia="zh-CN"/>
        </w:rPr>
        <w:t>减少公车使用次数</w:t>
      </w:r>
      <w:r>
        <w:rPr>
          <w:rFonts w:hint="eastAsia" w:ascii="仿宋_GB2312" w:eastAsia="仿宋_GB2312" w:cs="DengXian-Regular"/>
          <w:sz w:val="32"/>
          <w:szCs w:val="32"/>
        </w:rPr>
        <w:t>。</w:t>
      </w:r>
      <w:r>
        <w:rPr>
          <w:rFonts w:hint="eastAsia" w:ascii="仿宋_GB2312" w:eastAsia="仿宋_GB2312" w:cs="DengXian-Bold"/>
          <w:b/>
          <w:bCs/>
          <w:sz w:val="32"/>
          <w:szCs w:val="32"/>
        </w:rPr>
        <w:t>其中：</w:t>
      </w:r>
    </w:p>
    <w:p>
      <w:pPr>
        <w:adjustRightInd w:val="0"/>
        <w:snapToGrid w:val="0"/>
        <w:spacing w:after="0" w:line="560" w:lineRule="exact"/>
        <w:ind w:firstLine="643" w:firstLineChars="200"/>
        <w:rPr>
          <w:rFonts w:ascii="仿宋_GB2312" w:eastAsia="仿宋_GB2312" w:cs="DengXian-Regular"/>
          <w:sz w:val="32"/>
          <w:szCs w:val="32"/>
        </w:rPr>
      </w:pPr>
      <w:r>
        <w:rPr>
          <w:rFonts w:hint="eastAsia" w:ascii="仿宋_GB2312" w:eastAsia="仿宋_GB2312" w:cs="DengXian-Regular"/>
          <w:b/>
          <w:sz w:val="32"/>
          <w:szCs w:val="32"/>
        </w:rPr>
        <w:t>公务用车购置费：</w:t>
      </w:r>
      <w:r>
        <w:rPr>
          <w:rFonts w:hint="eastAsia" w:ascii="仿宋_GB2312" w:eastAsia="仿宋_GB2312" w:cs="DengXian-Regular"/>
          <w:sz w:val="32"/>
          <w:szCs w:val="32"/>
        </w:rPr>
        <w:t>本部门2017年度公务用车购置量</w:t>
      </w:r>
      <w:r>
        <w:rPr>
          <w:rFonts w:hint="eastAsia" w:ascii="仿宋_GB2312" w:eastAsia="仿宋_GB2312" w:cs="DengXian-Regular"/>
          <w:sz w:val="32"/>
          <w:szCs w:val="32"/>
          <w:lang w:val="en-US" w:eastAsia="zh-CN"/>
        </w:rPr>
        <w:t>0</w:t>
      </w:r>
      <w:r>
        <w:rPr>
          <w:rFonts w:hint="eastAsia" w:ascii="仿宋_GB2312" w:eastAsia="仿宋_GB2312" w:cs="DengXian-Regular"/>
          <w:sz w:val="32"/>
          <w:szCs w:val="32"/>
        </w:rPr>
        <w:t>辆，发生“公务用车购置”经费支出</w:t>
      </w:r>
      <w:r>
        <w:rPr>
          <w:rFonts w:hint="eastAsia" w:ascii="仿宋_GB2312" w:eastAsia="仿宋_GB2312" w:cs="DengXian-Regular"/>
          <w:sz w:val="32"/>
          <w:szCs w:val="32"/>
          <w:lang w:val="en-US" w:eastAsia="zh-CN"/>
        </w:rPr>
        <w:t>0</w:t>
      </w:r>
      <w:r>
        <w:rPr>
          <w:rFonts w:hint="eastAsia" w:ascii="仿宋_GB2312" w:eastAsia="仿宋_GB2312" w:cs="DengXian-Regular"/>
          <w:sz w:val="32"/>
          <w:szCs w:val="32"/>
        </w:rPr>
        <w:t>万元。公务用车购置费支出较年初预算增加</w:t>
      </w:r>
      <w:r>
        <w:rPr>
          <w:rFonts w:hint="eastAsia" w:ascii="仿宋_GB2312" w:eastAsia="仿宋_GB2312" w:cs="DengXian-Regular"/>
          <w:sz w:val="32"/>
          <w:szCs w:val="32"/>
          <w:lang w:val="en-US" w:eastAsia="zh-CN"/>
        </w:rPr>
        <w:t>0</w:t>
      </w:r>
      <w:r>
        <w:rPr>
          <w:rFonts w:hint="eastAsia" w:ascii="仿宋_GB2312" w:eastAsia="仿宋_GB2312" w:cs="DengXian-Regular"/>
          <w:sz w:val="32"/>
          <w:szCs w:val="32"/>
        </w:rPr>
        <w:t>万元，增长</w:t>
      </w:r>
      <w:r>
        <w:rPr>
          <w:rFonts w:hint="eastAsia" w:ascii="仿宋_GB2312" w:eastAsia="仿宋_GB2312" w:cs="DengXian-Regular"/>
          <w:sz w:val="32"/>
          <w:szCs w:val="32"/>
          <w:lang w:val="en-US" w:eastAsia="zh-CN"/>
        </w:rPr>
        <w:t>0</w:t>
      </w:r>
      <w:r>
        <w:rPr>
          <w:rFonts w:hint="eastAsia" w:ascii="仿宋_GB2312" w:eastAsia="仿宋_GB2312" w:cs="DengXian-Regular"/>
          <w:sz w:val="32"/>
          <w:szCs w:val="32"/>
        </w:rPr>
        <w:t>%,主要是</w:t>
      </w:r>
      <w:r>
        <w:rPr>
          <w:rFonts w:hint="eastAsia" w:ascii="仿宋_GB2312" w:eastAsia="仿宋_GB2312" w:cs="DengXian-Regular"/>
          <w:sz w:val="32"/>
          <w:szCs w:val="32"/>
          <w:lang w:eastAsia="zh-CN"/>
        </w:rPr>
        <w:t>无</w:t>
      </w:r>
      <w:r>
        <w:rPr>
          <w:rFonts w:hint="eastAsia" w:ascii="仿宋_GB2312" w:eastAsia="仿宋_GB2312" w:cs="DengXian-Regular"/>
          <w:sz w:val="32"/>
          <w:szCs w:val="32"/>
        </w:rPr>
        <w:t>公务用车购置；较2016年度决算增加</w:t>
      </w:r>
      <w:r>
        <w:rPr>
          <w:rFonts w:hint="eastAsia" w:ascii="仿宋_GB2312" w:eastAsia="仿宋_GB2312" w:cs="DengXian-Regular"/>
          <w:sz w:val="32"/>
          <w:szCs w:val="32"/>
          <w:lang w:val="en-US" w:eastAsia="zh-CN"/>
        </w:rPr>
        <w:t>0</w:t>
      </w:r>
      <w:r>
        <w:rPr>
          <w:rFonts w:hint="eastAsia" w:ascii="仿宋_GB2312" w:eastAsia="仿宋_GB2312" w:cs="DengXian-Regular"/>
          <w:sz w:val="32"/>
          <w:szCs w:val="32"/>
        </w:rPr>
        <w:t>万元，增长</w:t>
      </w:r>
      <w:r>
        <w:rPr>
          <w:rFonts w:hint="eastAsia" w:ascii="仿宋_GB2312" w:eastAsia="仿宋_GB2312" w:cs="DengXian-Regular"/>
          <w:sz w:val="32"/>
          <w:szCs w:val="32"/>
          <w:lang w:val="en-US" w:eastAsia="zh-CN"/>
        </w:rPr>
        <w:t>0</w:t>
      </w:r>
      <w:r>
        <w:rPr>
          <w:rFonts w:hint="eastAsia" w:ascii="仿宋_GB2312" w:eastAsia="仿宋_GB2312" w:cs="DengXian-Regular"/>
          <w:sz w:val="32"/>
          <w:szCs w:val="32"/>
        </w:rPr>
        <w:t>%,主要是</w:t>
      </w:r>
      <w:r>
        <w:rPr>
          <w:rFonts w:hint="eastAsia" w:ascii="仿宋_GB2312" w:eastAsia="仿宋_GB2312" w:cs="DengXian-Regular"/>
          <w:sz w:val="32"/>
          <w:szCs w:val="32"/>
          <w:lang w:eastAsia="zh-CN"/>
        </w:rPr>
        <w:t>无</w:t>
      </w:r>
      <w:r>
        <w:rPr>
          <w:rFonts w:hint="eastAsia" w:ascii="仿宋_GB2312" w:eastAsia="仿宋_GB2312" w:cs="DengXian-Regular"/>
          <w:sz w:val="32"/>
          <w:szCs w:val="32"/>
        </w:rPr>
        <w:t>公务用车购置。</w:t>
      </w:r>
    </w:p>
    <w:p>
      <w:pPr>
        <w:adjustRightInd w:val="0"/>
        <w:snapToGrid w:val="0"/>
        <w:spacing w:after="0" w:line="560" w:lineRule="exact"/>
        <w:ind w:firstLine="643" w:firstLineChars="200"/>
        <w:rPr>
          <w:rFonts w:ascii="仿宋_GB2312" w:eastAsia="仿宋_GB2312" w:cs="DengXian-Regular"/>
          <w:sz w:val="32"/>
          <w:szCs w:val="32"/>
        </w:rPr>
      </w:pPr>
      <w:r>
        <w:rPr>
          <w:rFonts w:hint="eastAsia" w:ascii="仿宋_GB2312" w:eastAsia="仿宋_GB2312" w:cs="DengXian-Regular"/>
          <w:b/>
          <w:sz w:val="32"/>
          <w:szCs w:val="32"/>
        </w:rPr>
        <w:t>公务用车运行维护费：</w:t>
      </w:r>
      <w:r>
        <w:rPr>
          <w:rFonts w:hint="eastAsia" w:ascii="仿宋_GB2312" w:eastAsia="仿宋_GB2312" w:cs="DengXian-Regular"/>
          <w:sz w:val="32"/>
          <w:szCs w:val="32"/>
        </w:rPr>
        <w:t>本部门2017年度单位公务用车保有量</w:t>
      </w:r>
      <w:r>
        <w:rPr>
          <w:rFonts w:hint="eastAsia" w:ascii="仿宋_GB2312" w:eastAsia="仿宋_GB2312" w:cs="DengXian-Regular"/>
          <w:sz w:val="32"/>
          <w:szCs w:val="32"/>
          <w:lang w:val="en-US" w:eastAsia="zh-CN"/>
        </w:rPr>
        <w:t>1</w:t>
      </w:r>
      <w:r>
        <w:rPr>
          <w:rFonts w:hint="eastAsia" w:ascii="仿宋_GB2312" w:eastAsia="仿宋_GB2312" w:cs="DengXian-Regular"/>
          <w:sz w:val="32"/>
          <w:szCs w:val="32"/>
        </w:rPr>
        <w:t>辆。公车运行维护费支出较年初预算减少</w:t>
      </w:r>
      <w:r>
        <w:rPr>
          <w:rFonts w:hint="eastAsia" w:ascii="仿宋_GB2312" w:eastAsia="仿宋_GB2312" w:cs="DengXian-Regular"/>
          <w:sz w:val="32"/>
          <w:szCs w:val="32"/>
          <w:lang w:val="en-US" w:eastAsia="zh-CN"/>
        </w:rPr>
        <w:t>0.48</w:t>
      </w:r>
      <w:r>
        <w:rPr>
          <w:rFonts w:hint="eastAsia" w:ascii="仿宋_GB2312" w:eastAsia="仿宋_GB2312" w:cs="DengXian-Regular"/>
          <w:sz w:val="32"/>
          <w:szCs w:val="32"/>
        </w:rPr>
        <w:t>万元，</w:t>
      </w:r>
      <w:r>
        <w:rPr>
          <w:rFonts w:hint="eastAsia" w:ascii="仿宋_GB2312" w:eastAsia="仿宋_GB2312" w:cs="DengXian-Regular"/>
          <w:sz w:val="32"/>
          <w:szCs w:val="32"/>
          <w:lang w:val="en-US" w:eastAsia="zh-CN"/>
        </w:rPr>
        <w:t>8</w:t>
      </w:r>
      <w:r>
        <w:rPr>
          <w:rFonts w:hint="eastAsia" w:ascii="仿宋_GB2312" w:eastAsia="仿宋_GB2312" w:cs="DengXian-Regular"/>
          <w:sz w:val="32"/>
          <w:szCs w:val="32"/>
        </w:rPr>
        <w:t>降低</w:t>
      </w:r>
      <w:r>
        <w:rPr>
          <w:rFonts w:hint="eastAsia" w:ascii="仿宋_GB2312" w:eastAsia="仿宋_GB2312" w:cs="DengXian-Regular"/>
          <w:sz w:val="32"/>
          <w:szCs w:val="32"/>
          <w:lang w:val="en-US" w:eastAsia="zh-CN"/>
        </w:rPr>
        <w:t>17.8</w:t>
      </w:r>
      <w:r>
        <w:rPr>
          <w:rFonts w:hint="eastAsia" w:ascii="仿宋_GB2312" w:eastAsia="仿宋_GB2312" w:cs="DengXian-Regular"/>
          <w:sz w:val="32"/>
          <w:szCs w:val="32"/>
        </w:rPr>
        <w:t>%,主要是是</w:t>
      </w:r>
      <w:r>
        <w:rPr>
          <w:rFonts w:hint="eastAsia" w:ascii="仿宋_GB2312" w:eastAsia="仿宋_GB2312" w:cs="DengXian-Regular"/>
          <w:sz w:val="32"/>
          <w:szCs w:val="32"/>
          <w:lang w:eastAsia="zh-CN"/>
        </w:rPr>
        <w:t>减少公车使用次数</w:t>
      </w:r>
      <w:r>
        <w:rPr>
          <w:rFonts w:hint="eastAsia" w:ascii="仿宋_GB2312" w:eastAsia="仿宋_GB2312" w:cs="DengXian-Regular"/>
          <w:sz w:val="32"/>
          <w:szCs w:val="32"/>
        </w:rPr>
        <w:t>；较2016年度决算减少</w:t>
      </w:r>
      <w:r>
        <w:rPr>
          <w:rFonts w:hint="eastAsia" w:ascii="仿宋_GB2312" w:eastAsia="仿宋_GB2312" w:cs="DengXian-Regular"/>
          <w:sz w:val="32"/>
          <w:szCs w:val="32"/>
          <w:lang w:val="en-US" w:eastAsia="zh-CN"/>
        </w:rPr>
        <w:t>0.47</w:t>
      </w:r>
      <w:r>
        <w:rPr>
          <w:rFonts w:hint="eastAsia" w:ascii="仿宋_GB2312" w:eastAsia="仿宋_GB2312" w:cs="DengXian-Regular"/>
          <w:sz w:val="32"/>
          <w:szCs w:val="32"/>
        </w:rPr>
        <w:t>万元，增降低</w:t>
      </w:r>
      <w:r>
        <w:rPr>
          <w:rFonts w:hint="eastAsia" w:ascii="仿宋_GB2312" w:eastAsia="仿宋_GB2312" w:cs="DengXian-Regular"/>
          <w:sz w:val="32"/>
          <w:szCs w:val="32"/>
          <w:lang w:val="en-US" w:eastAsia="zh-CN"/>
        </w:rPr>
        <w:t>17.47</w:t>
      </w:r>
      <w:r>
        <w:rPr>
          <w:rFonts w:hint="eastAsia" w:ascii="仿宋_GB2312" w:eastAsia="仿宋_GB2312" w:cs="DengXian-Regular"/>
          <w:sz w:val="32"/>
          <w:szCs w:val="32"/>
        </w:rPr>
        <w:t>%，主要是是</w:t>
      </w:r>
      <w:r>
        <w:rPr>
          <w:rFonts w:hint="eastAsia" w:ascii="仿宋_GB2312" w:eastAsia="仿宋_GB2312" w:cs="DengXian-Regular"/>
          <w:sz w:val="32"/>
          <w:szCs w:val="32"/>
          <w:lang w:eastAsia="zh-CN"/>
        </w:rPr>
        <w:t>减少公车使用次数</w:t>
      </w:r>
      <w:r>
        <w:rPr>
          <w:rFonts w:hint="eastAsia" w:ascii="仿宋_GB2312" w:eastAsia="仿宋_GB2312" w:cs="DengXian-Regular"/>
          <w:sz w:val="32"/>
          <w:szCs w:val="32"/>
        </w:rPr>
        <w:t>。</w:t>
      </w:r>
    </w:p>
    <w:p>
      <w:pPr>
        <w:adjustRightInd w:val="0"/>
        <w:snapToGrid w:val="0"/>
        <w:spacing w:after="0" w:line="560" w:lineRule="exact"/>
        <w:ind w:firstLine="643" w:firstLineChars="200"/>
        <w:rPr>
          <w:rFonts w:ascii="仿宋_GB2312" w:eastAsia="仿宋_GB2312" w:cs="DengXian-Regular"/>
          <w:sz w:val="32"/>
          <w:szCs w:val="32"/>
        </w:rPr>
      </w:pPr>
      <w:r>
        <w:rPr>
          <w:rFonts w:hint="eastAsia" w:ascii="楷体_GB2312" w:eastAsia="楷体_GB2312" w:cs="DengXian-Bold"/>
          <w:b/>
          <w:bCs/>
          <w:sz w:val="32"/>
          <w:szCs w:val="32"/>
        </w:rPr>
        <w:t>（三）公务接待费支出</w:t>
      </w:r>
      <w:r>
        <w:rPr>
          <w:rFonts w:hint="eastAsia" w:ascii="楷体_GB2312" w:eastAsia="楷体_GB2312" w:cs="DengXian-Bold"/>
          <w:b/>
          <w:bCs/>
          <w:sz w:val="32"/>
          <w:szCs w:val="32"/>
          <w:lang w:val="en-US" w:eastAsia="zh-CN"/>
        </w:rPr>
        <w:t>0</w:t>
      </w:r>
      <w:r>
        <w:rPr>
          <w:rFonts w:hint="eastAsia" w:ascii="楷体_GB2312" w:eastAsia="楷体_GB2312" w:cs="DengXian-Bold"/>
          <w:b/>
          <w:bCs/>
          <w:sz w:val="32"/>
          <w:szCs w:val="32"/>
        </w:rPr>
        <w:t>万元。</w:t>
      </w:r>
      <w:r>
        <w:rPr>
          <w:rFonts w:hint="eastAsia" w:ascii="仿宋_GB2312" w:eastAsia="仿宋_GB2312" w:cs="DengXian-Regular"/>
          <w:sz w:val="32"/>
          <w:szCs w:val="32"/>
        </w:rPr>
        <w:t>本部门2017年度公务接待共</w:t>
      </w:r>
      <w:r>
        <w:rPr>
          <w:rFonts w:hint="eastAsia" w:ascii="仿宋_GB2312" w:eastAsia="仿宋_GB2312" w:cs="DengXian-Regular"/>
          <w:sz w:val="32"/>
          <w:szCs w:val="32"/>
          <w:lang w:val="en-US" w:eastAsia="zh-CN"/>
        </w:rPr>
        <w:t>0</w:t>
      </w:r>
      <w:r>
        <w:rPr>
          <w:rFonts w:hint="eastAsia" w:ascii="仿宋_GB2312" w:eastAsia="仿宋_GB2312" w:cs="DengXian-Regular"/>
          <w:sz w:val="32"/>
          <w:szCs w:val="32"/>
        </w:rPr>
        <w:t>批次、</w:t>
      </w:r>
      <w:r>
        <w:rPr>
          <w:rFonts w:hint="eastAsia" w:ascii="仿宋_GB2312" w:eastAsia="仿宋_GB2312" w:cs="DengXian-Regular"/>
          <w:sz w:val="32"/>
          <w:szCs w:val="32"/>
          <w:lang w:val="en-US" w:eastAsia="zh-CN"/>
        </w:rPr>
        <w:t>0</w:t>
      </w:r>
      <w:r>
        <w:rPr>
          <w:rFonts w:hint="eastAsia" w:ascii="仿宋_GB2312" w:eastAsia="仿宋_GB2312" w:cs="DengXian-Regular"/>
          <w:sz w:val="32"/>
          <w:szCs w:val="32"/>
        </w:rPr>
        <w:t>人次。公务接待费支出较年初预算</w:t>
      </w:r>
      <w:r>
        <w:rPr>
          <w:rFonts w:hint="eastAsia" w:ascii="仿宋_GB2312" w:eastAsia="仿宋_GB2312" w:cs="DengXian-Regular"/>
          <w:sz w:val="32"/>
          <w:szCs w:val="32"/>
          <w:lang w:eastAsia="zh-CN"/>
        </w:rPr>
        <w:t>无变化</w:t>
      </w:r>
      <w:r>
        <w:rPr>
          <w:rFonts w:hint="eastAsia" w:ascii="仿宋_GB2312" w:eastAsia="仿宋_GB2312" w:cs="DengXian-Regular"/>
          <w:sz w:val="32"/>
          <w:szCs w:val="32"/>
        </w:rPr>
        <w:t>，降低</w:t>
      </w:r>
      <w:r>
        <w:rPr>
          <w:rFonts w:hint="eastAsia" w:ascii="仿宋_GB2312" w:eastAsia="仿宋_GB2312" w:cs="DengXian-Regular"/>
          <w:sz w:val="32"/>
          <w:szCs w:val="32"/>
          <w:lang w:val="en-US" w:eastAsia="zh-CN"/>
        </w:rPr>
        <w:t>0</w:t>
      </w:r>
      <w:r>
        <w:rPr>
          <w:rFonts w:hint="eastAsia" w:ascii="仿宋_GB2312" w:eastAsia="仿宋_GB2312" w:cs="DengXian-Regular"/>
          <w:sz w:val="32"/>
          <w:szCs w:val="32"/>
        </w:rPr>
        <w:t>%,主要是</w:t>
      </w:r>
      <w:r>
        <w:rPr>
          <w:rFonts w:hint="eastAsia" w:ascii="仿宋_GB2312" w:eastAsia="仿宋_GB2312" w:cs="DengXian-Regular"/>
          <w:sz w:val="32"/>
          <w:szCs w:val="32"/>
          <w:lang w:eastAsia="zh-CN"/>
        </w:rPr>
        <w:t>无</w:t>
      </w:r>
      <w:r>
        <w:rPr>
          <w:rFonts w:hint="eastAsia" w:ascii="仿宋_GB2312" w:eastAsia="仿宋_GB2312" w:cs="DengXian-Regular"/>
          <w:sz w:val="32"/>
          <w:szCs w:val="32"/>
        </w:rPr>
        <w:t>公务接待；较2016年度决算减少</w:t>
      </w:r>
      <w:r>
        <w:rPr>
          <w:rFonts w:hint="eastAsia" w:ascii="仿宋_GB2312" w:eastAsia="仿宋_GB2312" w:cs="DengXian-Regular"/>
          <w:sz w:val="32"/>
          <w:szCs w:val="32"/>
          <w:lang w:val="en-US" w:eastAsia="zh-CN"/>
        </w:rPr>
        <w:t>0</w:t>
      </w:r>
      <w:r>
        <w:rPr>
          <w:rFonts w:hint="eastAsia" w:ascii="仿宋_GB2312" w:eastAsia="仿宋_GB2312" w:cs="DengXian-Regular"/>
          <w:sz w:val="32"/>
          <w:szCs w:val="32"/>
        </w:rPr>
        <w:t>万元，降低</w:t>
      </w:r>
      <w:r>
        <w:rPr>
          <w:rFonts w:hint="eastAsia" w:ascii="仿宋_GB2312" w:eastAsia="仿宋_GB2312" w:cs="DengXian-Regular"/>
          <w:sz w:val="32"/>
          <w:szCs w:val="32"/>
          <w:lang w:val="en-US" w:eastAsia="zh-CN"/>
        </w:rPr>
        <w:t>0</w:t>
      </w:r>
      <w:r>
        <w:rPr>
          <w:rFonts w:hint="eastAsia" w:ascii="仿宋_GB2312" w:eastAsia="仿宋_GB2312" w:cs="DengXian-Regular"/>
          <w:sz w:val="32"/>
          <w:szCs w:val="32"/>
        </w:rPr>
        <w:t>%,主要是</w:t>
      </w:r>
      <w:r>
        <w:rPr>
          <w:rFonts w:hint="eastAsia" w:ascii="仿宋_GB2312" w:eastAsia="仿宋_GB2312" w:cs="DengXian-Regular"/>
          <w:sz w:val="32"/>
          <w:szCs w:val="32"/>
          <w:lang w:eastAsia="zh-CN"/>
        </w:rPr>
        <w:t>无</w:t>
      </w:r>
      <w:r>
        <w:rPr>
          <w:rFonts w:hint="eastAsia" w:ascii="仿宋_GB2312" w:eastAsia="仿宋_GB2312" w:cs="DengXian-Regular"/>
          <w:sz w:val="32"/>
          <w:szCs w:val="32"/>
        </w:rPr>
        <w:t>公务接待。</w:t>
      </w:r>
    </w:p>
    <w:p>
      <w:pPr>
        <w:pStyle w:val="3"/>
        <w:spacing w:before="0" w:after="0" w:line="500" w:lineRule="exact"/>
        <w:ind w:firstLine="643" w:firstLineChars="200"/>
        <w:jc w:val="both"/>
        <w:rPr>
          <w:rFonts w:ascii="黑体" w:eastAsia="黑体" w:cs="Times New Roman"/>
          <w:shd w:val="clear" w:color="auto" w:fill="auto"/>
        </w:rPr>
      </w:pPr>
      <w:r>
        <w:rPr>
          <w:rFonts w:hint="eastAsia" w:ascii="黑体" w:eastAsia="黑体" w:cs="Times New Roman"/>
          <w:shd w:val="clear" w:color="auto" w:fill="auto"/>
        </w:rPr>
        <w:t>六、绩效预算</w:t>
      </w:r>
      <w:r>
        <w:rPr>
          <w:rFonts w:hint="eastAsia" w:ascii="黑体" w:eastAsia="黑体" w:cs="黑体" w:hAnsiTheme="minorHAnsi"/>
          <w:kern w:val="0"/>
          <w:shd w:val="clear" w:color="auto" w:fill="auto"/>
        </w:rPr>
        <w:t>管理</w:t>
      </w:r>
      <w:r>
        <w:rPr>
          <w:rFonts w:hint="eastAsia" w:ascii="黑体" w:eastAsia="黑体" w:cs="Times New Roman"/>
          <w:shd w:val="clear" w:color="auto" w:fill="auto"/>
        </w:rPr>
        <w:t>工作开展情况说明</w:t>
      </w:r>
    </w:p>
    <w:p>
      <w:pPr>
        <w:adjustRightInd w:val="0"/>
        <w:snapToGrid w:val="0"/>
        <w:spacing w:after="0" w:line="500" w:lineRule="exact"/>
        <w:ind w:firstLine="640" w:firstLineChars="200"/>
        <w:jc w:val="both"/>
        <w:rPr>
          <w:rFonts w:hint="eastAsia" w:ascii="仿宋_GB2312" w:eastAsia="仿宋_GB2312" w:cs="DengXian-Regular"/>
          <w:sz w:val="32"/>
          <w:szCs w:val="32"/>
          <w:shd w:val="clear" w:color="auto" w:fill="auto"/>
          <w:lang w:eastAsia="zh-CN"/>
        </w:rPr>
      </w:pPr>
      <w:r>
        <w:rPr>
          <w:rFonts w:hint="eastAsia" w:ascii="仿宋_GB2312" w:eastAsia="仿宋_GB2312" w:cs="DengXian-Regular"/>
          <w:sz w:val="32"/>
          <w:szCs w:val="32"/>
          <w:shd w:val="clear" w:color="auto" w:fill="auto"/>
        </w:rPr>
        <w:t>（一）绩效管理工作开展情况。根据绩效预算管理改革督察要求，本单位认真开展了预算绩效管理改革开展情况自查，对部门全面规范绩效预算编制、严格预算执行管理、推进绩效评价工作、推进预决算信息公开等方面进行了自评，根据中国石家庄市委全面深化改革领导小组办公室《关于推进绩效预算管理改革情况的督察通报》（石改革办字[2018]25号），考核结果</w:t>
      </w:r>
      <w:r>
        <w:rPr>
          <w:rFonts w:hint="eastAsia" w:ascii="仿宋_GB2312" w:eastAsia="仿宋_GB2312" w:cs="DengXian-Regular"/>
          <w:sz w:val="32"/>
          <w:szCs w:val="32"/>
          <w:shd w:val="clear" w:color="auto" w:fill="auto"/>
          <w:lang w:eastAsia="zh-CN"/>
        </w:rPr>
        <w:t>为良好</w:t>
      </w:r>
    </w:p>
    <w:p>
      <w:pPr>
        <w:adjustRightInd w:val="0"/>
        <w:snapToGrid w:val="0"/>
        <w:spacing w:after="0" w:line="500" w:lineRule="exact"/>
        <w:ind w:firstLine="640" w:firstLineChars="200"/>
        <w:jc w:val="both"/>
        <w:rPr>
          <w:rFonts w:hint="eastAsia" w:ascii="仿宋_GB2312" w:eastAsia="仿宋_GB2312" w:cs="DengXian-Regular"/>
          <w:sz w:val="32"/>
          <w:szCs w:val="32"/>
          <w:shd w:val="clear" w:color="auto" w:fill="auto"/>
        </w:rPr>
      </w:pPr>
      <w:r>
        <w:rPr>
          <w:rFonts w:hint="eastAsia" w:ascii="仿宋_GB2312" w:eastAsia="仿宋_GB2312" w:cs="DengXian-Regular"/>
          <w:sz w:val="32"/>
          <w:szCs w:val="32"/>
          <w:shd w:val="clear" w:color="auto" w:fill="auto"/>
        </w:rPr>
        <w:t>（二）预算项目绩效评价开展情况</w:t>
      </w:r>
      <w:r>
        <w:rPr>
          <w:rFonts w:hint="eastAsia" w:ascii="仿宋_GB2312" w:eastAsia="仿宋_GB2312" w:cs="DengXian-Regular"/>
          <w:sz w:val="32"/>
          <w:szCs w:val="32"/>
          <w:shd w:val="clear" w:color="auto" w:fill="auto"/>
          <w:lang w:eastAsia="zh-CN"/>
        </w:rPr>
        <w:t>。</w:t>
      </w:r>
      <w:r>
        <w:rPr>
          <w:rFonts w:hint="eastAsia" w:ascii="仿宋_GB2312" w:eastAsia="仿宋_GB2312" w:cs="DengXian-Regular"/>
          <w:sz w:val="32"/>
          <w:szCs w:val="32"/>
          <w:shd w:val="clear" w:color="auto" w:fill="auto"/>
        </w:rPr>
        <w:t>根据预算绩效管理要求，本单位组织对2017年度一般公共预算项目支出全面开展绩效自评，涉及</w:t>
      </w:r>
      <w:r>
        <w:rPr>
          <w:rFonts w:hint="eastAsia" w:ascii="仿宋_GB2312" w:eastAsia="仿宋_GB2312" w:cs="DengXian-Regular"/>
          <w:sz w:val="32"/>
          <w:szCs w:val="32"/>
          <w:shd w:val="clear" w:color="auto" w:fill="auto"/>
          <w:lang w:eastAsia="zh-CN"/>
        </w:rPr>
        <w:t>区妇女儿童专项、市级发展专项和省级师范妇女之家</w:t>
      </w:r>
      <w:r>
        <w:rPr>
          <w:rFonts w:hint="eastAsia" w:ascii="仿宋_GB2312" w:eastAsia="仿宋_GB2312" w:cs="DengXian-Regular"/>
          <w:sz w:val="32"/>
          <w:szCs w:val="32"/>
          <w:shd w:val="clear" w:color="auto" w:fill="auto"/>
        </w:rPr>
        <w:t>等</w:t>
      </w:r>
      <w:r>
        <w:rPr>
          <w:rFonts w:hint="eastAsia" w:ascii="仿宋_GB2312" w:eastAsia="仿宋_GB2312" w:cs="DengXian-Regular"/>
          <w:sz w:val="32"/>
          <w:szCs w:val="32"/>
          <w:shd w:val="clear" w:color="auto" w:fill="auto"/>
          <w:lang w:val="en-US" w:eastAsia="zh-CN"/>
        </w:rPr>
        <w:t>3</w:t>
      </w:r>
      <w:r>
        <w:rPr>
          <w:rFonts w:hint="eastAsia" w:ascii="仿宋_GB2312" w:eastAsia="仿宋_GB2312" w:cs="DengXian-Regular"/>
          <w:sz w:val="32"/>
          <w:szCs w:val="32"/>
          <w:shd w:val="clear" w:color="auto" w:fill="auto"/>
        </w:rPr>
        <w:t>个项目，涉及资金</w:t>
      </w:r>
      <w:r>
        <w:rPr>
          <w:rFonts w:hint="eastAsia" w:ascii="仿宋_GB2312" w:eastAsia="仿宋_GB2312" w:cs="DengXian-Regular"/>
          <w:sz w:val="32"/>
          <w:szCs w:val="32"/>
          <w:shd w:val="clear" w:color="auto" w:fill="auto"/>
          <w:lang w:val="en-US" w:eastAsia="zh-CN"/>
        </w:rPr>
        <w:t>30</w:t>
      </w:r>
      <w:r>
        <w:rPr>
          <w:rFonts w:hint="eastAsia" w:ascii="仿宋_GB2312" w:eastAsia="仿宋_GB2312" w:cs="DengXian-Regular"/>
          <w:sz w:val="32"/>
          <w:szCs w:val="32"/>
          <w:shd w:val="clear" w:color="auto" w:fill="auto"/>
        </w:rPr>
        <w:t>万元。从评价情况看，评价结果为优秀的项目有</w:t>
      </w:r>
      <w:r>
        <w:rPr>
          <w:rFonts w:hint="eastAsia" w:ascii="仿宋_GB2312" w:eastAsia="仿宋_GB2312" w:cs="DengXian-Regular"/>
          <w:sz w:val="32"/>
          <w:szCs w:val="32"/>
          <w:shd w:val="clear" w:color="auto" w:fill="auto"/>
          <w:lang w:val="en-US" w:eastAsia="zh-CN"/>
        </w:rPr>
        <w:t>0</w:t>
      </w:r>
      <w:r>
        <w:rPr>
          <w:rFonts w:hint="eastAsia" w:ascii="仿宋_GB2312" w:eastAsia="仿宋_GB2312" w:cs="DengXian-Regular"/>
          <w:sz w:val="32"/>
          <w:szCs w:val="32"/>
          <w:shd w:val="clear" w:color="auto" w:fill="auto"/>
        </w:rPr>
        <w:t>个，良好的项目有</w:t>
      </w:r>
      <w:r>
        <w:rPr>
          <w:rFonts w:hint="eastAsia" w:ascii="仿宋_GB2312" w:eastAsia="仿宋_GB2312" w:cs="DengXian-Regular"/>
          <w:sz w:val="32"/>
          <w:szCs w:val="32"/>
          <w:shd w:val="clear" w:color="auto" w:fill="auto"/>
          <w:lang w:val="en-US" w:eastAsia="zh-CN"/>
        </w:rPr>
        <w:t>3</w:t>
      </w:r>
      <w:r>
        <w:rPr>
          <w:rFonts w:hint="eastAsia" w:ascii="仿宋_GB2312" w:eastAsia="仿宋_GB2312" w:cs="DengXian-Regular"/>
          <w:sz w:val="32"/>
          <w:szCs w:val="32"/>
          <w:shd w:val="clear" w:color="auto" w:fill="auto"/>
        </w:rPr>
        <w:t>个，一般的项目有</w:t>
      </w:r>
      <w:r>
        <w:rPr>
          <w:rFonts w:hint="eastAsia" w:ascii="仿宋_GB2312" w:eastAsia="仿宋_GB2312" w:cs="DengXian-Regular"/>
          <w:sz w:val="32"/>
          <w:szCs w:val="32"/>
          <w:shd w:val="clear" w:color="auto" w:fill="auto"/>
          <w:lang w:val="en-US" w:eastAsia="zh-CN"/>
        </w:rPr>
        <w:t>0</w:t>
      </w:r>
      <w:r>
        <w:rPr>
          <w:rFonts w:hint="eastAsia" w:ascii="仿宋_GB2312" w:eastAsia="仿宋_GB2312" w:cs="DengXian-Regular"/>
          <w:sz w:val="32"/>
          <w:szCs w:val="32"/>
          <w:shd w:val="clear" w:color="auto" w:fill="auto"/>
        </w:rPr>
        <w:t>个。</w:t>
      </w:r>
    </w:p>
    <w:p>
      <w:pPr>
        <w:adjustRightInd w:val="0"/>
        <w:snapToGrid w:val="0"/>
        <w:spacing w:after="0" w:line="500" w:lineRule="exact"/>
        <w:ind w:firstLine="640" w:firstLineChars="200"/>
        <w:jc w:val="both"/>
        <w:rPr>
          <w:rFonts w:hint="eastAsia" w:ascii="仿宋_GB2312" w:eastAsia="仿宋_GB2312" w:cs="DengXian-Regular"/>
          <w:sz w:val="32"/>
          <w:szCs w:val="32"/>
          <w:shd w:val="clear" w:color="auto" w:fill="auto"/>
        </w:rPr>
      </w:pPr>
      <w:r>
        <w:rPr>
          <w:rFonts w:hint="eastAsia" w:ascii="仿宋_GB2312" w:eastAsia="仿宋_GB2312" w:cs="DengXian-Regular"/>
          <w:sz w:val="32"/>
          <w:szCs w:val="32"/>
          <w:shd w:val="clear" w:color="auto" w:fill="auto"/>
        </w:rPr>
        <w:t>（三）预算项目绩效自评选例</w:t>
      </w:r>
    </w:p>
    <w:p>
      <w:pPr>
        <w:adjustRightInd w:val="0"/>
        <w:snapToGrid w:val="0"/>
        <w:spacing w:after="0" w:line="500" w:lineRule="exact"/>
        <w:ind w:firstLine="640" w:firstLineChars="200"/>
        <w:jc w:val="both"/>
        <w:rPr>
          <w:rFonts w:ascii="仿宋_GB2312" w:eastAsia="仿宋_GB2312" w:cs="DengXian-Regular"/>
          <w:sz w:val="32"/>
          <w:szCs w:val="32"/>
          <w:shd w:val="clear" w:color="auto" w:fill="auto"/>
        </w:rPr>
      </w:pPr>
      <w:r>
        <w:rPr>
          <w:rFonts w:hint="eastAsia" w:ascii="仿宋_GB2312" w:eastAsia="仿宋_GB2312" w:cs="DengXian-Regular"/>
          <w:sz w:val="32"/>
          <w:szCs w:val="32"/>
          <w:shd w:val="clear" w:color="auto" w:fill="auto"/>
        </w:rPr>
        <w:t>本单位无民生项目和重点支出项目。</w:t>
      </w:r>
    </w:p>
    <w:p>
      <w:pPr>
        <w:pStyle w:val="3"/>
        <w:spacing w:before="0" w:after="0" w:line="560" w:lineRule="exact"/>
        <w:ind w:firstLine="643" w:firstLineChars="200"/>
        <w:rPr>
          <w:rFonts w:ascii="黑体" w:eastAsia="黑体" w:cs="Times New Roman"/>
        </w:rPr>
      </w:pPr>
      <w:r>
        <w:rPr>
          <w:rFonts w:hint="eastAsia" w:ascii="黑体" w:eastAsia="黑体" w:cs="Times New Roman"/>
        </w:rPr>
        <w:t>七、其他重要事项的说明</w:t>
      </w:r>
    </w:p>
    <w:p>
      <w:pPr>
        <w:pStyle w:val="4"/>
        <w:spacing w:before="0" w:after="0" w:line="560" w:lineRule="exact"/>
        <w:ind w:firstLine="643" w:firstLineChars="200"/>
        <w:rPr>
          <w:rFonts w:ascii="楷体_GB2312" w:eastAsia="楷体_GB2312" w:cs="DengXian-Bold"/>
        </w:rPr>
      </w:pPr>
      <w:r>
        <w:rPr>
          <w:rFonts w:hint="eastAsia" w:ascii="楷体_GB2312" w:eastAsia="楷体_GB2312" w:cs="DengXian-Bold"/>
        </w:rPr>
        <w:t>（一）机关运行经费情况</w:t>
      </w:r>
    </w:p>
    <w:p>
      <w:pPr>
        <w:adjustRightInd w:val="0"/>
        <w:snapToGrid w:val="0"/>
        <w:spacing w:after="0" w:line="560" w:lineRule="exact"/>
        <w:ind w:firstLine="640" w:firstLineChars="200"/>
        <w:rPr>
          <w:rFonts w:ascii="仿宋_GB2312" w:eastAsia="仿宋_GB2312" w:cs="DengXian-Regular"/>
          <w:color w:val="FF0000"/>
          <w:sz w:val="32"/>
          <w:szCs w:val="32"/>
        </w:rPr>
      </w:pPr>
      <w:r>
        <w:rPr>
          <w:rFonts w:hint="eastAsia" w:ascii="仿宋_GB2312" w:eastAsia="仿宋_GB2312" w:cs="DengXian-Regular"/>
          <w:color w:val="auto"/>
          <w:sz w:val="32"/>
          <w:szCs w:val="32"/>
        </w:rPr>
        <w:t>本部门2017年度机关运行经费支出</w:t>
      </w:r>
      <w:r>
        <w:rPr>
          <w:rFonts w:hint="eastAsia" w:ascii="仿宋_GB2312" w:eastAsia="仿宋_GB2312" w:cs="DengXian-Regular"/>
          <w:color w:val="auto"/>
          <w:sz w:val="32"/>
          <w:szCs w:val="32"/>
          <w:lang w:val="en-US" w:eastAsia="zh-CN"/>
        </w:rPr>
        <w:t>13.18</w:t>
      </w:r>
      <w:r>
        <w:rPr>
          <w:rFonts w:hint="eastAsia" w:ascii="仿宋_GB2312" w:eastAsia="仿宋_GB2312" w:cs="DengXian-Regular"/>
          <w:color w:val="auto"/>
          <w:sz w:val="32"/>
          <w:szCs w:val="32"/>
        </w:rPr>
        <w:t>万元</w:t>
      </w:r>
      <w:r>
        <w:rPr>
          <w:rFonts w:hint="eastAsia" w:ascii="仿宋_GB2312" w:eastAsia="仿宋_GB2312" w:cs="DengXian-Regular"/>
          <w:color w:val="auto"/>
          <w:sz w:val="32"/>
          <w:szCs w:val="32"/>
          <w:lang w:eastAsia="zh-CN"/>
        </w:rPr>
        <w:t>，</w:t>
      </w:r>
      <w:r>
        <w:rPr>
          <w:rFonts w:hint="eastAsia" w:ascii="仿宋_GB2312" w:eastAsia="仿宋_GB2312" w:cs="DengXian-Regular"/>
          <w:color w:val="auto"/>
          <w:sz w:val="32"/>
          <w:szCs w:val="32"/>
        </w:rPr>
        <w:t>比2016年度增加</w:t>
      </w:r>
      <w:r>
        <w:rPr>
          <w:rFonts w:hint="eastAsia" w:ascii="仿宋_GB2312" w:eastAsia="仿宋_GB2312" w:cs="DengXian-Regular"/>
          <w:color w:val="auto"/>
          <w:sz w:val="32"/>
          <w:szCs w:val="32"/>
          <w:lang w:val="en-US" w:eastAsia="zh-CN"/>
        </w:rPr>
        <w:t>5.06</w:t>
      </w:r>
      <w:r>
        <w:rPr>
          <w:rFonts w:hint="eastAsia" w:ascii="仿宋_GB2312" w:eastAsia="仿宋_GB2312" w:cs="DengXian-Regular"/>
          <w:color w:val="auto"/>
          <w:sz w:val="32"/>
          <w:szCs w:val="32"/>
        </w:rPr>
        <w:t>万元，增长</w:t>
      </w:r>
      <w:r>
        <w:rPr>
          <w:rFonts w:hint="eastAsia" w:ascii="仿宋_GB2312" w:eastAsia="仿宋_GB2312" w:cs="DengXian-Regular"/>
          <w:color w:val="auto"/>
          <w:sz w:val="32"/>
          <w:szCs w:val="32"/>
          <w:lang w:val="en-US" w:eastAsia="zh-CN"/>
        </w:rPr>
        <w:t>63.1</w:t>
      </w:r>
      <w:r>
        <w:rPr>
          <w:rFonts w:hint="eastAsia" w:ascii="仿宋_GB2312" w:eastAsia="仿宋_GB2312" w:cs="DengXian-Regular"/>
          <w:color w:val="auto"/>
          <w:sz w:val="32"/>
          <w:szCs w:val="32"/>
        </w:rPr>
        <w:t>%</w:t>
      </w:r>
      <w:r>
        <w:rPr>
          <w:rFonts w:hint="eastAsia" w:ascii="仿宋_GB2312" w:eastAsia="仿宋_GB2312" w:cs="DengXian-Regular"/>
          <w:color w:val="auto"/>
          <w:sz w:val="32"/>
          <w:szCs w:val="32"/>
          <w:lang w:eastAsia="zh-CN"/>
        </w:rPr>
        <w:t>。</w:t>
      </w:r>
      <w:r>
        <w:rPr>
          <w:rFonts w:hint="eastAsia" w:ascii="仿宋_GB2312" w:eastAsia="仿宋_GB2312" w:cs="DengXian-Regular"/>
          <w:color w:val="auto"/>
          <w:sz w:val="32"/>
          <w:szCs w:val="32"/>
          <w:lang w:eastAsia="zh-CN"/>
        </w:rPr>
        <w:t>其中：办公费</w:t>
      </w:r>
      <w:r>
        <w:rPr>
          <w:rFonts w:hint="eastAsia" w:ascii="仿宋_GB2312" w:eastAsia="仿宋_GB2312" w:cs="DengXian-Regular"/>
          <w:color w:val="auto"/>
          <w:sz w:val="32"/>
          <w:szCs w:val="32"/>
          <w:lang w:val="en-US" w:eastAsia="zh-CN"/>
        </w:rPr>
        <w:t>0.78万、邮电费0.28万、差旅费0.34万、劳务费5.18、公务用车运行维护费2.22万、其他交通费4.33万。</w:t>
      </w:r>
      <w:r>
        <w:rPr>
          <w:rFonts w:hint="eastAsia" w:ascii="仿宋_GB2312" w:eastAsia="仿宋_GB2312" w:cs="DengXian-Regular"/>
          <w:color w:val="auto"/>
          <w:sz w:val="32"/>
          <w:szCs w:val="32"/>
        </w:rPr>
        <w:t>主要原因是工资待遇水平提高，社保经费提高，调入人员等以至于支出增加。</w:t>
      </w:r>
    </w:p>
    <w:p>
      <w:pPr>
        <w:pStyle w:val="4"/>
        <w:spacing w:before="0" w:after="0" w:line="560" w:lineRule="exact"/>
        <w:ind w:firstLine="643" w:firstLineChars="200"/>
        <w:rPr>
          <w:rFonts w:ascii="楷体_GB2312" w:eastAsia="楷体_GB2312" w:cs="DengXian-Bold"/>
        </w:rPr>
      </w:pPr>
      <w:r>
        <w:rPr>
          <w:rFonts w:hint="eastAsia" w:ascii="楷体_GB2312" w:eastAsia="楷体_GB2312" w:cs="DengXian-Bold"/>
        </w:rPr>
        <w:t>（二）政府采购情况</w:t>
      </w:r>
    </w:p>
    <w:p>
      <w:pPr>
        <w:adjustRightInd w:val="0"/>
        <w:snapToGrid w:val="0"/>
        <w:spacing w:after="0" w:line="56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201</w:t>
      </w:r>
      <w:r>
        <w:rPr>
          <w:rFonts w:hint="eastAsia" w:ascii="仿宋_GB2312" w:eastAsia="仿宋_GB2312" w:cs="DengXian-Regular"/>
          <w:sz w:val="32"/>
          <w:szCs w:val="32"/>
          <w:lang w:val="en-US" w:eastAsia="zh-CN"/>
        </w:rPr>
        <w:t>7</w:t>
      </w:r>
      <w:r>
        <w:rPr>
          <w:rFonts w:hint="eastAsia" w:ascii="仿宋_GB2312" w:eastAsia="仿宋_GB2312" w:cs="DengXian-Regular"/>
          <w:sz w:val="32"/>
          <w:szCs w:val="32"/>
        </w:rPr>
        <w:t>年度我单位无政府采购预算</w:t>
      </w:r>
      <w:r>
        <w:rPr>
          <w:rFonts w:hint="eastAsia" w:ascii="仿宋_GB2312" w:eastAsia="仿宋_GB2312" w:cs="DengXian-Regular"/>
          <w:sz w:val="32"/>
          <w:szCs w:val="32"/>
          <w:lang w:eastAsia="zh-CN"/>
        </w:rPr>
        <w:t>。</w:t>
      </w:r>
      <w:r>
        <w:rPr>
          <w:rFonts w:hint="eastAsia" w:ascii="仿宋_GB2312" w:eastAsia="仿宋_GB2312" w:cs="DengXian-Regular"/>
          <w:sz w:val="32"/>
          <w:szCs w:val="32"/>
        </w:rPr>
        <w:t>本部门2017年度政府采购支出总额</w:t>
      </w:r>
      <w:r>
        <w:rPr>
          <w:rFonts w:hint="eastAsia" w:ascii="仿宋_GB2312" w:eastAsia="仿宋_GB2312" w:cs="DengXian-Regular"/>
          <w:sz w:val="32"/>
          <w:szCs w:val="32"/>
          <w:lang w:val="en-US" w:eastAsia="zh-CN"/>
        </w:rPr>
        <w:t>0</w:t>
      </w:r>
      <w:r>
        <w:rPr>
          <w:rFonts w:hint="eastAsia" w:ascii="仿宋_GB2312" w:eastAsia="仿宋_GB2312" w:cs="DengXian-Regular"/>
          <w:sz w:val="32"/>
          <w:szCs w:val="32"/>
        </w:rPr>
        <w:t>万元，其中：政府采购货物支出</w:t>
      </w:r>
      <w:r>
        <w:rPr>
          <w:rFonts w:hint="eastAsia" w:ascii="仿宋_GB2312" w:eastAsia="仿宋_GB2312" w:cs="DengXian-Regular"/>
          <w:sz w:val="32"/>
          <w:szCs w:val="32"/>
          <w:lang w:val="en-US" w:eastAsia="zh-CN"/>
        </w:rPr>
        <w:t>0</w:t>
      </w:r>
      <w:r>
        <w:rPr>
          <w:rFonts w:hint="eastAsia" w:ascii="仿宋_GB2312" w:eastAsia="仿宋_GB2312" w:cs="DengXian-Regular"/>
          <w:sz w:val="32"/>
          <w:szCs w:val="32"/>
        </w:rPr>
        <w:t>万元、政府采购工程支出</w:t>
      </w:r>
      <w:r>
        <w:rPr>
          <w:rFonts w:hint="eastAsia" w:ascii="仿宋_GB2312" w:eastAsia="仿宋_GB2312" w:cs="DengXian-Regular"/>
          <w:sz w:val="32"/>
          <w:szCs w:val="32"/>
          <w:lang w:val="en-US" w:eastAsia="zh-CN"/>
        </w:rPr>
        <w:t>0</w:t>
      </w:r>
      <w:r>
        <w:rPr>
          <w:rFonts w:hint="eastAsia" w:ascii="仿宋_GB2312" w:eastAsia="仿宋_GB2312" w:cs="DengXian-Regular"/>
          <w:sz w:val="32"/>
          <w:szCs w:val="32"/>
        </w:rPr>
        <w:t>万元、政府采购服务支出</w:t>
      </w:r>
      <w:r>
        <w:rPr>
          <w:rFonts w:hint="eastAsia" w:ascii="仿宋_GB2312" w:eastAsia="仿宋_GB2312" w:cs="DengXian-Regular"/>
          <w:sz w:val="32"/>
          <w:szCs w:val="32"/>
          <w:lang w:val="en-US" w:eastAsia="zh-CN"/>
        </w:rPr>
        <w:t>0</w:t>
      </w:r>
      <w:r>
        <w:rPr>
          <w:rFonts w:hint="eastAsia" w:ascii="仿宋_GB2312" w:eastAsia="仿宋_GB2312" w:cs="DengXian-Regular"/>
          <w:sz w:val="32"/>
          <w:szCs w:val="32"/>
        </w:rPr>
        <w:t>万元。</w:t>
      </w:r>
    </w:p>
    <w:p>
      <w:pPr>
        <w:pStyle w:val="4"/>
        <w:spacing w:before="0" w:after="0" w:line="560" w:lineRule="exact"/>
        <w:ind w:firstLine="643" w:firstLineChars="200"/>
        <w:rPr>
          <w:rFonts w:ascii="楷体_GB2312" w:eastAsia="楷体_GB2312" w:cs="DengXian-Bold"/>
          <w:color w:val="auto"/>
        </w:rPr>
      </w:pPr>
      <w:r>
        <w:rPr>
          <w:rFonts w:hint="eastAsia" w:ascii="楷体_GB2312" w:eastAsia="楷体_GB2312" w:cs="DengXian-Bold"/>
          <w:color w:val="auto"/>
        </w:rPr>
        <w:t>（三）国有资产占用情况</w:t>
      </w:r>
    </w:p>
    <w:p>
      <w:pPr>
        <w:adjustRightInd w:val="0"/>
        <w:snapToGrid w:val="0"/>
        <w:spacing w:after="0" w:line="560" w:lineRule="exact"/>
        <w:ind w:firstLine="640" w:firstLineChars="200"/>
        <w:rPr>
          <w:rFonts w:hint="eastAsia" w:ascii="仿宋_GB2312" w:eastAsia="仿宋_GB2312" w:cs="DengXian-Regular"/>
          <w:color w:val="auto"/>
          <w:sz w:val="32"/>
          <w:szCs w:val="32"/>
          <w:lang w:eastAsia="zh-CN"/>
        </w:rPr>
      </w:pPr>
      <w:r>
        <w:rPr>
          <w:rFonts w:hint="eastAsia" w:ascii="仿宋_GB2312" w:eastAsia="仿宋_GB2312" w:cs="DengXian-Regular"/>
          <w:sz w:val="32"/>
          <w:szCs w:val="32"/>
        </w:rPr>
        <w:t>2017年度初固定资产19.06万元，2017年度末固定资产</w:t>
      </w:r>
      <w:r>
        <w:rPr>
          <w:rFonts w:hint="eastAsia" w:ascii="仿宋_GB2312" w:eastAsia="仿宋_GB2312" w:cs="DengXian-Regular"/>
          <w:color w:val="auto"/>
          <w:sz w:val="32"/>
          <w:szCs w:val="32"/>
          <w:lang w:val="en-US" w:eastAsia="zh-CN"/>
        </w:rPr>
        <w:t>18.72</w:t>
      </w:r>
      <w:r>
        <w:rPr>
          <w:rFonts w:hint="eastAsia" w:ascii="仿宋_GB2312" w:eastAsia="仿宋_GB2312" w:cs="DengXian-Regular"/>
          <w:color w:val="auto"/>
          <w:sz w:val="32"/>
          <w:szCs w:val="32"/>
        </w:rPr>
        <w:t>万元。其中：固定资产</w:t>
      </w:r>
      <w:r>
        <w:rPr>
          <w:rFonts w:hint="eastAsia" w:ascii="仿宋_GB2312" w:eastAsia="仿宋_GB2312" w:cs="DengXian-Regular"/>
          <w:color w:val="auto"/>
          <w:sz w:val="32"/>
          <w:szCs w:val="32"/>
          <w:lang w:eastAsia="zh-CN"/>
        </w:rPr>
        <w:t>减少</w:t>
      </w:r>
      <w:r>
        <w:rPr>
          <w:rFonts w:hint="eastAsia" w:ascii="仿宋_GB2312" w:eastAsia="仿宋_GB2312" w:cs="DengXian-Regular"/>
          <w:color w:val="auto"/>
          <w:sz w:val="32"/>
          <w:szCs w:val="32"/>
          <w:lang w:val="en-US" w:eastAsia="zh-CN"/>
        </w:rPr>
        <w:t>1.32</w:t>
      </w:r>
      <w:r>
        <w:rPr>
          <w:rFonts w:hint="eastAsia" w:ascii="仿宋_GB2312" w:eastAsia="仿宋_GB2312" w:cs="DengXian-Regular"/>
          <w:color w:val="auto"/>
          <w:sz w:val="32"/>
          <w:szCs w:val="32"/>
          <w:lang w:eastAsia="zh-CN"/>
        </w:rPr>
        <w:t>万元、</w:t>
      </w:r>
      <w:r>
        <w:rPr>
          <w:rFonts w:hint="eastAsia" w:ascii="仿宋_GB2312" w:eastAsia="仿宋_GB2312" w:cs="DengXian-Regular"/>
          <w:color w:val="auto"/>
          <w:sz w:val="32"/>
          <w:szCs w:val="32"/>
        </w:rPr>
        <w:t>增</w:t>
      </w:r>
      <w:r>
        <w:rPr>
          <w:rFonts w:hint="eastAsia" w:ascii="仿宋_GB2312" w:eastAsia="仿宋_GB2312" w:cs="DengXian-Regular"/>
          <w:color w:val="auto"/>
          <w:sz w:val="32"/>
          <w:szCs w:val="32"/>
          <w:lang w:eastAsia="zh-CN"/>
        </w:rPr>
        <w:t>加</w:t>
      </w:r>
      <w:r>
        <w:rPr>
          <w:rFonts w:hint="eastAsia" w:ascii="仿宋_GB2312" w:eastAsia="仿宋_GB2312" w:cs="DengXian-Regular"/>
          <w:color w:val="auto"/>
          <w:sz w:val="32"/>
          <w:szCs w:val="32"/>
          <w:lang w:val="en-US" w:eastAsia="zh-CN"/>
        </w:rPr>
        <w:t>0.98</w:t>
      </w:r>
      <w:r>
        <w:rPr>
          <w:rFonts w:hint="eastAsia" w:ascii="仿宋_GB2312" w:eastAsia="仿宋_GB2312" w:cs="DengXian-Regular"/>
          <w:color w:val="auto"/>
          <w:sz w:val="32"/>
          <w:szCs w:val="32"/>
        </w:rPr>
        <w:t>万元。</w:t>
      </w:r>
    </w:p>
    <w:p>
      <w:pPr>
        <w:adjustRightInd w:val="0"/>
        <w:snapToGrid w:val="0"/>
        <w:spacing w:after="0" w:line="560" w:lineRule="exact"/>
        <w:ind w:firstLine="640" w:firstLineChars="200"/>
        <w:rPr>
          <w:rFonts w:hint="eastAsia" w:ascii="仿宋_GB2312" w:eastAsia="仿宋_GB2312" w:cs="DengXian-Regular"/>
          <w:sz w:val="32"/>
          <w:szCs w:val="32"/>
        </w:rPr>
      </w:pPr>
      <w:r>
        <w:rPr>
          <w:rFonts w:hint="eastAsia" w:ascii="仿宋_GB2312" w:eastAsia="仿宋_GB2312" w:cs="DengXian-Regular"/>
          <w:sz w:val="32"/>
          <w:szCs w:val="32"/>
        </w:rPr>
        <w:t>本部门共有车辆</w:t>
      </w:r>
      <w:r>
        <w:rPr>
          <w:rFonts w:hint="eastAsia" w:ascii="仿宋_GB2312" w:eastAsia="仿宋_GB2312" w:cs="DengXian-Regular"/>
          <w:sz w:val="32"/>
          <w:szCs w:val="32"/>
          <w:lang w:val="en-US" w:eastAsia="zh-CN"/>
        </w:rPr>
        <w:t>1</w:t>
      </w:r>
      <w:r>
        <w:rPr>
          <w:rFonts w:hint="eastAsia" w:ascii="仿宋_GB2312" w:eastAsia="仿宋_GB2312" w:cs="DengXian-Regular"/>
          <w:sz w:val="32"/>
          <w:szCs w:val="32"/>
        </w:rPr>
        <w:t>辆，其中，市级领导干部用车</w:t>
      </w:r>
      <w:r>
        <w:rPr>
          <w:rFonts w:hint="eastAsia" w:ascii="仿宋_GB2312" w:eastAsia="仿宋_GB2312" w:cs="DengXian-Regular"/>
          <w:sz w:val="32"/>
          <w:szCs w:val="32"/>
          <w:lang w:val="en-US" w:eastAsia="zh-CN"/>
        </w:rPr>
        <w:t>0</w:t>
      </w:r>
      <w:r>
        <w:rPr>
          <w:rFonts w:hint="eastAsia" w:ascii="仿宋_GB2312" w:eastAsia="仿宋_GB2312" w:cs="DengXian-Regular"/>
          <w:sz w:val="32"/>
          <w:szCs w:val="32"/>
        </w:rPr>
        <w:t>辆、一般公务用车</w:t>
      </w:r>
      <w:r>
        <w:rPr>
          <w:rFonts w:hint="eastAsia" w:ascii="仿宋_GB2312" w:eastAsia="仿宋_GB2312" w:cs="DengXian-Regular"/>
          <w:sz w:val="32"/>
          <w:szCs w:val="32"/>
          <w:lang w:val="en-US" w:eastAsia="zh-CN"/>
        </w:rPr>
        <w:t>1</w:t>
      </w:r>
      <w:r>
        <w:rPr>
          <w:rFonts w:hint="eastAsia" w:ascii="仿宋_GB2312" w:eastAsia="仿宋_GB2312" w:cs="DengXian-Regular"/>
          <w:sz w:val="32"/>
          <w:szCs w:val="32"/>
        </w:rPr>
        <w:t>辆、一般执法执勤用车</w:t>
      </w:r>
      <w:r>
        <w:rPr>
          <w:rFonts w:hint="eastAsia" w:ascii="仿宋_GB2312" w:eastAsia="仿宋_GB2312" w:cs="DengXian-Regular"/>
          <w:sz w:val="32"/>
          <w:szCs w:val="32"/>
          <w:lang w:val="en-US" w:eastAsia="zh-CN"/>
        </w:rPr>
        <w:t>0</w:t>
      </w:r>
      <w:r>
        <w:rPr>
          <w:rFonts w:hint="eastAsia" w:ascii="仿宋_GB2312" w:eastAsia="仿宋_GB2312" w:cs="DengXian-Regular"/>
          <w:sz w:val="32"/>
          <w:szCs w:val="32"/>
        </w:rPr>
        <w:t>辆、特种专业技术用车</w:t>
      </w:r>
      <w:r>
        <w:rPr>
          <w:rFonts w:hint="eastAsia" w:ascii="仿宋_GB2312" w:eastAsia="仿宋_GB2312" w:cs="DengXian-Regular"/>
          <w:sz w:val="32"/>
          <w:szCs w:val="32"/>
          <w:lang w:val="en-US" w:eastAsia="zh-CN"/>
        </w:rPr>
        <w:t>0</w:t>
      </w:r>
      <w:r>
        <w:rPr>
          <w:rFonts w:hint="eastAsia" w:ascii="仿宋_GB2312" w:eastAsia="仿宋_GB2312" w:cs="DengXian-Regular"/>
          <w:sz w:val="32"/>
          <w:szCs w:val="32"/>
        </w:rPr>
        <w:t>辆、其他用车</w:t>
      </w:r>
      <w:r>
        <w:rPr>
          <w:rFonts w:hint="eastAsia" w:ascii="仿宋_GB2312" w:eastAsia="仿宋_GB2312" w:cs="DengXian-Regular"/>
          <w:sz w:val="32"/>
          <w:szCs w:val="32"/>
          <w:lang w:val="en-US" w:eastAsia="zh-CN"/>
        </w:rPr>
        <w:t>0</w:t>
      </w:r>
      <w:r>
        <w:rPr>
          <w:rFonts w:hint="eastAsia" w:ascii="仿宋_GB2312" w:eastAsia="仿宋_GB2312" w:cs="DengXian-Regular"/>
          <w:sz w:val="32"/>
          <w:szCs w:val="32"/>
        </w:rPr>
        <w:t>辆，其他用车主要是</w:t>
      </w:r>
      <w:r>
        <w:rPr>
          <w:rFonts w:hint="eastAsia" w:ascii="仿宋_GB2312" w:eastAsia="仿宋_GB2312" w:cs="DengXian-Regular"/>
          <w:sz w:val="32"/>
          <w:szCs w:val="32"/>
          <w:lang w:eastAsia="zh-CN"/>
        </w:rPr>
        <w:t>用于单位一般事务</w:t>
      </w:r>
      <w:r>
        <w:rPr>
          <w:rFonts w:hint="eastAsia" w:ascii="仿宋_GB2312" w:eastAsia="仿宋_GB2312" w:cs="DengXian-Regular"/>
          <w:sz w:val="32"/>
          <w:szCs w:val="32"/>
        </w:rPr>
        <w:t>；单位价值50万元以上大型设备</w:t>
      </w:r>
      <w:r>
        <w:rPr>
          <w:rFonts w:hint="eastAsia" w:ascii="仿宋_GB2312" w:eastAsia="仿宋_GB2312" w:cs="DengXian-Regular"/>
          <w:sz w:val="32"/>
          <w:szCs w:val="32"/>
          <w:lang w:val="en-US" w:eastAsia="zh-CN"/>
        </w:rPr>
        <w:t>0</w:t>
      </w:r>
      <w:r>
        <w:rPr>
          <w:rFonts w:hint="eastAsia" w:ascii="仿宋_GB2312" w:eastAsia="仿宋_GB2312" w:cs="DengXian-Regular"/>
          <w:sz w:val="32"/>
          <w:szCs w:val="32"/>
        </w:rPr>
        <w:t>台（套），单位价值100万元以上大型设备</w:t>
      </w:r>
      <w:r>
        <w:rPr>
          <w:rFonts w:hint="eastAsia" w:ascii="仿宋_GB2312" w:eastAsia="仿宋_GB2312" w:cs="DengXian-Regular"/>
          <w:sz w:val="32"/>
          <w:szCs w:val="32"/>
          <w:lang w:val="en-US" w:eastAsia="zh-CN"/>
        </w:rPr>
        <w:t>0</w:t>
      </w:r>
      <w:r>
        <w:rPr>
          <w:rFonts w:hint="eastAsia" w:ascii="仿宋_GB2312" w:eastAsia="仿宋_GB2312" w:cs="DengXian-Regular"/>
          <w:sz w:val="32"/>
          <w:szCs w:val="32"/>
        </w:rPr>
        <w:t>台（套）</w:t>
      </w:r>
      <w:bookmarkStart w:id="0" w:name="_GoBack"/>
      <w:bookmarkEnd w:id="0"/>
      <w:r>
        <w:rPr>
          <w:rFonts w:hint="eastAsia" w:ascii="仿宋_GB2312" w:eastAsia="仿宋_GB2312" w:cs="DengXian-Regular"/>
          <w:sz w:val="32"/>
          <w:szCs w:val="32"/>
        </w:rPr>
        <w:t>。</w:t>
      </w:r>
    </w:p>
    <w:p>
      <w:pPr>
        <w:pStyle w:val="4"/>
        <w:numPr>
          <w:ilvl w:val="0"/>
          <w:numId w:val="2"/>
        </w:numPr>
        <w:spacing w:before="0" w:after="0" w:line="560" w:lineRule="exact"/>
        <w:ind w:firstLine="643" w:firstLineChars="200"/>
      </w:pPr>
      <w:r>
        <w:rPr>
          <w:rFonts w:hint="eastAsia" w:ascii="楷体_GB2312" w:eastAsia="楷体_GB2312" w:cs="DengXian-Bold"/>
        </w:rPr>
        <w:t>其他需要说明的情况</w:t>
      </w:r>
    </w:p>
    <w:p>
      <w:pPr>
        <w:numPr>
          <w:ilvl w:val="0"/>
          <w:numId w:val="3"/>
        </w:numPr>
        <w:adjustRightInd w:val="0"/>
        <w:snapToGrid w:val="0"/>
        <w:spacing w:after="0" w:line="560" w:lineRule="exact"/>
        <w:ind w:firstLine="640" w:firstLineChars="200"/>
        <w:rPr>
          <w:rFonts w:hint="eastAsia" w:ascii="仿宋_GB2312" w:eastAsia="仿宋_GB2312" w:cs="DengXian-Regular"/>
          <w:color w:val="auto"/>
          <w:sz w:val="32"/>
          <w:szCs w:val="32"/>
        </w:rPr>
      </w:pPr>
      <w:r>
        <w:rPr>
          <w:rFonts w:hint="eastAsia" w:ascii="仿宋_GB2312" w:eastAsia="仿宋_GB2312" w:cs="DengXian-Regular"/>
          <w:color w:val="auto"/>
          <w:sz w:val="32"/>
          <w:szCs w:val="32"/>
          <w:lang w:eastAsia="zh-CN"/>
        </w:rPr>
        <w:t>我单位</w:t>
      </w:r>
      <w:r>
        <w:rPr>
          <w:rFonts w:hint="eastAsia" w:ascii="仿宋_GB2312" w:eastAsia="仿宋_GB2312" w:cs="DengXian-Regular"/>
          <w:color w:val="auto"/>
          <w:sz w:val="32"/>
          <w:szCs w:val="32"/>
        </w:rPr>
        <w:t>政府性基金预算财政拨款</w:t>
      </w:r>
      <w:r>
        <w:rPr>
          <w:rFonts w:hint="eastAsia" w:ascii="仿宋_GB2312" w:eastAsia="仿宋_GB2312" w:cs="DengXian-Regular"/>
          <w:color w:val="auto"/>
          <w:sz w:val="32"/>
          <w:szCs w:val="32"/>
          <w:lang w:eastAsia="zh-CN"/>
        </w:rPr>
        <w:t>、</w:t>
      </w:r>
      <w:r>
        <w:rPr>
          <w:rFonts w:hint="eastAsia" w:ascii="仿宋_GB2312" w:eastAsia="仿宋_GB2312" w:cs="DengXian-Regular"/>
          <w:color w:val="auto"/>
          <w:sz w:val="32"/>
          <w:szCs w:val="32"/>
        </w:rPr>
        <w:t>国有资本经营预算财政拨款、政府采购情况等无收支及结转结余情况，故政府性基金预算财政拨款收入支出决算表、国有资本经营预算财政拨款收入支出决算表等相关信息统计表、政府采购情况表以空表列示</w:t>
      </w:r>
    </w:p>
    <w:p>
      <w:pPr>
        <w:numPr>
          <w:ilvl w:val="0"/>
          <w:numId w:val="3"/>
        </w:numPr>
        <w:adjustRightInd w:val="0"/>
        <w:snapToGrid w:val="0"/>
        <w:spacing w:after="0" w:line="560" w:lineRule="exact"/>
        <w:ind w:firstLine="640" w:firstLineChars="200"/>
        <w:rPr>
          <w:rFonts w:hint="eastAsia" w:ascii="仿宋_GB2312" w:eastAsia="仿宋_GB2312" w:cs="DengXian-Regular"/>
          <w:color w:val="auto"/>
          <w:sz w:val="32"/>
          <w:szCs w:val="32"/>
        </w:rPr>
      </w:pPr>
      <w:r>
        <w:rPr>
          <w:rFonts w:hint="eastAsia" w:ascii="仿宋_GB2312" w:eastAsia="仿宋_GB2312" w:cs="DengXian-Regular"/>
          <w:color w:val="auto"/>
          <w:sz w:val="32"/>
          <w:szCs w:val="32"/>
        </w:rPr>
        <w:t>由于决算公开表格中金额数值应当保留两位小数，公开数据为四舍五入计算结果，个别数据合计项与分项之和存在小数点后差额，特此说明。</w:t>
      </w:r>
    </w:p>
    <w:p>
      <w:pPr>
        <w:pStyle w:val="2"/>
        <w:jc w:val="center"/>
        <w:rPr>
          <w:rFonts w:cs="SimSun,Bold" w:asciiTheme="majorEastAsia" w:hAnsiTheme="majorEastAsia" w:eastAsiaTheme="majorEastAsia"/>
        </w:rPr>
      </w:pPr>
      <w:r>
        <w:rPr>
          <w:rFonts w:hint="eastAsia" w:cs="SimSun,Bold" w:asciiTheme="majorEastAsia" w:hAnsiTheme="majorEastAsia" w:eastAsiaTheme="majorEastAsia"/>
          <w:color w:val="auto"/>
        </w:rPr>
        <w:t>第四部分</w:t>
      </w:r>
      <w:r>
        <w:rPr>
          <w:rFonts w:hint="eastAsia" w:cs="SimSun,Bold" w:asciiTheme="majorEastAsia" w:hAnsiTheme="majorEastAsia" w:eastAsiaTheme="majorEastAsia"/>
          <w:bCs w:val="0"/>
          <w:color w:val="auto"/>
        </w:rPr>
        <w:t xml:space="preserve"> </w:t>
      </w:r>
      <w:r>
        <w:rPr>
          <w:rFonts w:hint="eastAsia" w:cs="SimSun,Bold" w:asciiTheme="majorEastAsia" w:hAnsiTheme="majorEastAsia" w:eastAsiaTheme="majorEastAsia"/>
          <w:color w:val="auto"/>
        </w:rPr>
        <w:t>名词</w:t>
      </w:r>
      <w:r>
        <w:rPr>
          <w:rFonts w:hint="eastAsia" w:cs="SimSun,Bold" w:asciiTheme="majorEastAsia" w:hAnsiTheme="majorEastAsia" w:eastAsiaTheme="majorEastAsia"/>
        </w:rPr>
        <w:t>解释</w:t>
      </w:r>
    </w:p>
    <w:p>
      <w:pPr>
        <w:widowControl/>
        <w:spacing w:after="0" w:line="560" w:lineRule="exact"/>
        <w:ind w:firstLine="640" w:firstLineChars="200"/>
        <w:rPr>
          <w:rFonts w:ascii="仿宋_GB2312" w:eastAsia="仿宋_GB2312" w:hAnsiTheme="majorEastAsia"/>
          <w:color w:val="000000"/>
          <w:kern w:val="0"/>
          <w:sz w:val="32"/>
          <w:szCs w:val="32"/>
        </w:rPr>
      </w:pPr>
      <w:r>
        <w:rPr>
          <w:rFonts w:hint="eastAsia" w:ascii="仿宋_GB2312" w:eastAsia="仿宋_GB2312" w:hAnsiTheme="majorEastAsia"/>
          <w:color w:val="000000"/>
          <w:kern w:val="0"/>
          <w:sz w:val="32"/>
          <w:szCs w:val="32"/>
        </w:rPr>
        <w:t>（一）财政拨款收入：本年度从本级财政部门取得的财政拨款，包括一般公共预算财政拨款和政府性基金预算财政拨款。</w:t>
      </w:r>
    </w:p>
    <w:p>
      <w:pPr>
        <w:widowControl/>
        <w:spacing w:after="0" w:line="560" w:lineRule="exact"/>
        <w:ind w:firstLine="640" w:firstLineChars="200"/>
        <w:rPr>
          <w:rFonts w:ascii="仿宋_GB2312" w:eastAsia="仿宋_GB2312" w:hAnsiTheme="majorEastAsia"/>
          <w:color w:val="000000"/>
          <w:kern w:val="0"/>
          <w:sz w:val="32"/>
          <w:szCs w:val="32"/>
        </w:rPr>
      </w:pPr>
      <w:r>
        <w:rPr>
          <w:rFonts w:hint="eastAsia" w:ascii="仿宋_GB2312" w:eastAsia="仿宋_GB2312" w:hAnsiTheme="majorEastAsia"/>
          <w:color w:val="000000"/>
          <w:kern w:val="0"/>
          <w:sz w:val="32"/>
          <w:szCs w:val="32"/>
        </w:rPr>
        <w:t>（二）事业收入：指事业单位开展专业业务活动及辅助活动所取得的收入。</w:t>
      </w:r>
    </w:p>
    <w:p>
      <w:pPr>
        <w:widowControl/>
        <w:spacing w:after="0" w:line="560" w:lineRule="exact"/>
        <w:ind w:firstLine="640" w:firstLineChars="200"/>
        <w:rPr>
          <w:rFonts w:ascii="仿宋_GB2312" w:eastAsia="仿宋_GB2312" w:hAnsiTheme="majorEastAsia"/>
          <w:color w:val="000000"/>
          <w:kern w:val="0"/>
          <w:sz w:val="32"/>
          <w:szCs w:val="32"/>
        </w:rPr>
      </w:pPr>
      <w:r>
        <w:rPr>
          <w:rFonts w:hint="eastAsia" w:ascii="仿宋_GB2312" w:eastAsia="仿宋_GB2312" w:hAnsiTheme="majorEastAsia"/>
          <w:color w:val="000000"/>
          <w:kern w:val="0"/>
          <w:sz w:val="32"/>
          <w:szCs w:val="32"/>
        </w:rPr>
        <w:t>（三）其他收入：指除上述“财政拨款收入”、“事业收入”、“经营收入”等以外的收入。</w:t>
      </w:r>
    </w:p>
    <w:p>
      <w:pPr>
        <w:widowControl/>
        <w:spacing w:after="0" w:line="560" w:lineRule="exact"/>
        <w:ind w:firstLine="640" w:firstLineChars="200"/>
        <w:rPr>
          <w:rFonts w:ascii="仿宋_GB2312" w:eastAsia="仿宋_GB2312" w:hAnsiTheme="majorEastAsia"/>
          <w:color w:val="000000"/>
          <w:kern w:val="0"/>
          <w:sz w:val="32"/>
          <w:szCs w:val="32"/>
        </w:rPr>
      </w:pPr>
      <w:r>
        <w:rPr>
          <w:rFonts w:hint="eastAsia" w:ascii="仿宋_GB2312" w:eastAsia="仿宋_GB2312" w:hAnsiTheme="majorEastAsia"/>
          <w:color w:val="000000"/>
          <w:kern w:val="0"/>
          <w:sz w:val="32"/>
          <w:szCs w:val="32"/>
        </w:rPr>
        <w:t>（四）用事业基金弥补收支差额：指事业单位在用当年的“财政拨款收入”、“财政拨款结转和结余资金”、“事业收入”、“经营收入”、“其他收入”不足以安排当年支出的情况下，使用以前年度积累的事业基金（事业单位当年收支相抵后按国家规定提取、用于弥补以后年度收支差额的基金）弥补本年度收支缺口的资金。</w:t>
      </w:r>
    </w:p>
    <w:p>
      <w:pPr>
        <w:widowControl/>
        <w:spacing w:after="0" w:line="560" w:lineRule="exact"/>
        <w:ind w:firstLine="640" w:firstLineChars="200"/>
        <w:rPr>
          <w:rFonts w:ascii="仿宋_GB2312" w:eastAsia="仿宋_GB2312" w:hAnsiTheme="majorEastAsia"/>
          <w:color w:val="000000"/>
          <w:kern w:val="0"/>
          <w:sz w:val="32"/>
          <w:szCs w:val="32"/>
        </w:rPr>
      </w:pPr>
      <w:r>
        <w:rPr>
          <w:rFonts w:hint="eastAsia" w:ascii="仿宋_GB2312" w:eastAsia="仿宋_GB2312" w:hAnsiTheme="majorEastAsia"/>
          <w:color w:val="000000"/>
          <w:kern w:val="0"/>
          <w:sz w:val="32"/>
          <w:szCs w:val="32"/>
        </w:rPr>
        <w:t>（五）年初结转和结余：指以前年度尚未完成、结转到本年仍按原规定用途继续使用的资金，或项目已完成等产生的结余资金。</w:t>
      </w:r>
    </w:p>
    <w:p>
      <w:pPr>
        <w:widowControl/>
        <w:spacing w:after="0" w:line="560" w:lineRule="exact"/>
        <w:ind w:firstLine="640" w:firstLineChars="200"/>
        <w:rPr>
          <w:rFonts w:ascii="仿宋_GB2312" w:eastAsia="仿宋_GB2312" w:hAnsiTheme="majorEastAsia"/>
          <w:color w:val="000000"/>
          <w:kern w:val="0"/>
          <w:sz w:val="32"/>
          <w:szCs w:val="32"/>
        </w:rPr>
      </w:pPr>
      <w:r>
        <w:rPr>
          <w:rFonts w:hint="eastAsia" w:ascii="仿宋_GB2312" w:eastAsia="仿宋_GB2312" w:hAnsiTheme="majorEastAsia"/>
          <w:color w:val="000000"/>
          <w:kern w:val="0"/>
          <w:sz w:val="32"/>
          <w:szCs w:val="32"/>
        </w:rPr>
        <w:t>（六）结余分配：指事业单位按照事业单位会计制度的规定从非财政补助结余中分配的事业基金和职工福利基金等。</w:t>
      </w:r>
    </w:p>
    <w:p>
      <w:pPr>
        <w:widowControl/>
        <w:spacing w:after="0" w:line="560" w:lineRule="exact"/>
        <w:ind w:firstLine="640" w:firstLineChars="200"/>
        <w:rPr>
          <w:rFonts w:ascii="仿宋_GB2312" w:eastAsia="仿宋_GB2312" w:hAnsiTheme="majorEastAsia"/>
          <w:color w:val="000000"/>
          <w:kern w:val="0"/>
          <w:sz w:val="32"/>
          <w:szCs w:val="32"/>
        </w:rPr>
      </w:pPr>
      <w:r>
        <w:rPr>
          <w:rFonts w:hint="eastAsia" w:ascii="仿宋_GB2312" w:eastAsia="仿宋_GB2312" w:hAnsiTheme="majorEastAsia"/>
          <w:color w:val="000000"/>
          <w:kern w:val="0"/>
          <w:sz w:val="32"/>
          <w:szCs w:val="32"/>
        </w:rPr>
        <w:t>（七）年末结转和结余：指单位按有关规定结转到下年或以后年度继续使用的资金，或项目已完成等产生的结余资金。</w:t>
      </w:r>
    </w:p>
    <w:p>
      <w:pPr>
        <w:widowControl/>
        <w:spacing w:after="0" w:line="560" w:lineRule="exact"/>
        <w:ind w:firstLine="640" w:firstLineChars="200"/>
        <w:rPr>
          <w:rFonts w:ascii="仿宋_GB2312" w:eastAsia="仿宋_GB2312" w:hAnsiTheme="majorEastAsia"/>
          <w:color w:val="000000"/>
          <w:kern w:val="0"/>
          <w:sz w:val="32"/>
          <w:szCs w:val="32"/>
        </w:rPr>
      </w:pPr>
      <w:r>
        <w:rPr>
          <w:rFonts w:hint="eastAsia" w:ascii="仿宋_GB2312" w:eastAsia="仿宋_GB2312" w:hAnsiTheme="majorEastAsia"/>
          <w:color w:val="000000"/>
          <w:kern w:val="0"/>
          <w:sz w:val="32"/>
          <w:szCs w:val="32"/>
        </w:rPr>
        <w:t>（八）基本支出：填列单位为保障机构正常运转、完成日常工作任务而发生的各项支出。</w:t>
      </w:r>
    </w:p>
    <w:p>
      <w:pPr>
        <w:widowControl/>
        <w:spacing w:after="0" w:line="560" w:lineRule="exact"/>
        <w:ind w:firstLine="640" w:firstLineChars="200"/>
        <w:rPr>
          <w:rFonts w:ascii="仿宋_GB2312" w:eastAsia="仿宋_GB2312" w:hAnsiTheme="majorEastAsia"/>
          <w:color w:val="000000"/>
          <w:kern w:val="0"/>
          <w:sz w:val="32"/>
          <w:szCs w:val="32"/>
        </w:rPr>
      </w:pPr>
      <w:r>
        <w:rPr>
          <w:rFonts w:hint="eastAsia" w:ascii="仿宋_GB2312" w:eastAsia="仿宋_GB2312" w:hAnsiTheme="majorEastAsia"/>
          <w:color w:val="000000"/>
          <w:kern w:val="0"/>
          <w:sz w:val="32"/>
          <w:szCs w:val="32"/>
        </w:rPr>
        <w:t>（九）项目支出：填列单位为完成特定的行政工作任务或事业发展目标，在基本支出之外发生的各项支出</w:t>
      </w:r>
    </w:p>
    <w:p>
      <w:pPr>
        <w:widowControl/>
        <w:spacing w:after="0" w:line="560" w:lineRule="exact"/>
        <w:ind w:firstLine="640" w:firstLineChars="200"/>
        <w:rPr>
          <w:rFonts w:ascii="仿宋_GB2312" w:eastAsia="仿宋_GB2312" w:hAnsiTheme="majorEastAsia"/>
          <w:color w:val="000000"/>
          <w:kern w:val="0"/>
          <w:sz w:val="32"/>
          <w:szCs w:val="32"/>
        </w:rPr>
      </w:pPr>
      <w:r>
        <w:rPr>
          <w:rFonts w:hint="eastAsia" w:ascii="仿宋_GB2312" w:eastAsia="仿宋_GB2312" w:hAnsiTheme="majorEastAsia"/>
          <w:color w:val="000000"/>
          <w:kern w:val="0"/>
          <w:sz w:val="32"/>
          <w:szCs w:val="32"/>
        </w:rPr>
        <w:t>（十）基本建设支出：填列由本级发展与改革部门集中安排的用于购置固定资产、战略性和应急性储备、土地和无形资产，以及购建基础设施、大型修缮所发生的一般公共预算财政拨款支出，不包括政府性基金、财政专户管理资金以及各类拼盘自筹资金等。</w:t>
      </w:r>
    </w:p>
    <w:p>
      <w:pPr>
        <w:widowControl/>
        <w:spacing w:after="0" w:line="560" w:lineRule="exact"/>
        <w:ind w:firstLine="640" w:firstLineChars="200"/>
        <w:rPr>
          <w:rFonts w:ascii="仿宋_GB2312" w:eastAsia="仿宋_GB2312" w:hAnsiTheme="majorEastAsia"/>
          <w:color w:val="000000"/>
          <w:kern w:val="0"/>
          <w:sz w:val="32"/>
          <w:szCs w:val="32"/>
        </w:rPr>
      </w:pPr>
      <w:r>
        <w:rPr>
          <w:rFonts w:hint="eastAsia" w:ascii="仿宋_GB2312" w:eastAsia="仿宋_GB2312" w:hAnsiTheme="majorEastAsia"/>
          <w:color w:val="000000"/>
          <w:kern w:val="0"/>
          <w:sz w:val="32"/>
          <w:szCs w:val="32"/>
        </w:rPr>
        <w:t>（十一）其他资本性支出：填列由各级非发展与改革部门集中安排的用于购置固定资产、战备性和应急性储备、土地和无形资产，以及购建基础设施、大型修缮和财政支持企业更新改造所发生的支出。</w:t>
      </w:r>
    </w:p>
    <w:p>
      <w:pPr>
        <w:widowControl/>
        <w:spacing w:after="0" w:line="560" w:lineRule="exact"/>
        <w:ind w:firstLine="640" w:firstLineChars="200"/>
        <w:rPr>
          <w:rFonts w:ascii="仿宋_GB2312" w:eastAsia="仿宋_GB2312" w:hAnsiTheme="majorEastAsia"/>
          <w:color w:val="000000"/>
          <w:kern w:val="0"/>
          <w:sz w:val="32"/>
          <w:szCs w:val="32"/>
        </w:rPr>
      </w:pPr>
      <w:r>
        <w:rPr>
          <w:rFonts w:hint="eastAsia" w:ascii="仿宋_GB2312" w:eastAsia="仿宋_GB2312" w:hAnsiTheme="majorEastAsia"/>
          <w:color w:val="000000"/>
          <w:kern w:val="0"/>
          <w:sz w:val="32"/>
          <w:szCs w:val="32"/>
        </w:rPr>
        <w:t>（十二）“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购置支出（含车辆购置税）及租用费、燃料费、维修费、过路过桥费、保险费、安全奖励费用等支出；公务接待费反映单位按规定开支的各类公务接待（含外宾接待）支出。</w:t>
      </w:r>
    </w:p>
    <w:p>
      <w:pPr>
        <w:widowControl/>
        <w:spacing w:after="0" w:line="560" w:lineRule="exact"/>
        <w:ind w:firstLine="640" w:firstLineChars="200"/>
        <w:rPr>
          <w:rFonts w:ascii="仿宋_GB2312" w:eastAsia="仿宋_GB2312" w:hAnsiTheme="majorEastAsia"/>
          <w:color w:val="000000"/>
          <w:kern w:val="0"/>
          <w:sz w:val="32"/>
          <w:szCs w:val="32"/>
        </w:rPr>
      </w:pPr>
      <w:r>
        <w:rPr>
          <w:rFonts w:hint="eastAsia" w:ascii="仿宋_GB2312" w:eastAsia="仿宋_GB2312" w:hAnsiTheme="majorEastAsia"/>
          <w:color w:val="000000"/>
          <w:kern w:val="0"/>
          <w:sz w:val="32"/>
          <w:szCs w:val="32"/>
        </w:rPr>
        <w:t>（十三）其他交通费用：填列单位除公务用车运行维护费以外的其他交通费用。如飞机、船舶等的燃料费、维修费、过桥过路费、保险费、出租车费用、公务交通补贴等。</w:t>
      </w:r>
    </w:p>
    <w:p>
      <w:pPr>
        <w:widowControl/>
        <w:spacing w:after="0" w:line="560" w:lineRule="exact"/>
        <w:ind w:firstLine="640" w:firstLineChars="200"/>
        <w:rPr>
          <w:rFonts w:ascii="仿宋_GB2312" w:eastAsia="仿宋_GB2312" w:hAnsiTheme="majorEastAsia"/>
          <w:color w:val="000000"/>
          <w:kern w:val="0"/>
          <w:sz w:val="32"/>
          <w:szCs w:val="32"/>
        </w:rPr>
      </w:pPr>
      <w:r>
        <w:rPr>
          <w:rFonts w:hint="eastAsia" w:ascii="仿宋_GB2312" w:eastAsia="仿宋_GB2312" w:hAnsiTheme="majorEastAsia"/>
          <w:color w:val="000000"/>
          <w:kern w:val="0"/>
          <w:sz w:val="32"/>
          <w:szCs w:val="32"/>
        </w:rPr>
        <w:t>（十四）公务用车购置：填列单位公务用车车辆购置支出（含车辆购置税）。</w:t>
      </w:r>
    </w:p>
    <w:p>
      <w:pPr>
        <w:widowControl/>
        <w:spacing w:after="0" w:line="560" w:lineRule="exact"/>
        <w:ind w:firstLine="640" w:firstLineChars="200"/>
        <w:rPr>
          <w:rFonts w:ascii="仿宋_GB2312" w:eastAsia="仿宋_GB2312" w:hAnsiTheme="majorEastAsia"/>
          <w:color w:val="000000"/>
          <w:kern w:val="0"/>
          <w:sz w:val="32"/>
          <w:szCs w:val="32"/>
        </w:rPr>
      </w:pPr>
      <w:r>
        <w:rPr>
          <w:rFonts w:hint="eastAsia" w:ascii="仿宋_GB2312" w:eastAsia="仿宋_GB2312" w:hAnsiTheme="majorEastAsia"/>
          <w:color w:val="000000"/>
          <w:kern w:val="0"/>
          <w:sz w:val="32"/>
          <w:szCs w:val="32"/>
        </w:rPr>
        <w:t>（十五）其他交通工具购置：填列单位除公务用车外的其他各类交通工具（如船舶、飞机）购置支出（含车辆购置税）。</w:t>
      </w:r>
    </w:p>
    <w:p>
      <w:pPr>
        <w:widowControl/>
        <w:spacing w:after="0" w:line="560" w:lineRule="exact"/>
        <w:ind w:firstLine="640" w:firstLineChars="200"/>
        <w:rPr>
          <w:rFonts w:ascii="仿宋_GB2312" w:eastAsia="仿宋_GB2312" w:hAnsiTheme="majorEastAsia"/>
          <w:color w:val="000000"/>
          <w:kern w:val="0"/>
          <w:sz w:val="32"/>
          <w:szCs w:val="32"/>
        </w:rPr>
      </w:pPr>
      <w:r>
        <w:rPr>
          <w:rFonts w:hint="eastAsia" w:ascii="仿宋_GB2312" w:eastAsia="仿宋_GB2312" w:hAnsiTheme="majorEastAsia"/>
          <w:color w:val="000000"/>
          <w:kern w:val="0"/>
          <w:sz w:val="32"/>
          <w:szCs w:val="32"/>
        </w:rPr>
        <w:t>（十六） 机关运行经费：指为保障行政单位（包括参照公务员法管理的事业单位）运行用于购买货物和服务的各项资金，包括办公及印刷费、邮电费、差旅费、会议费、福利费、日常维修费、专用材料以及一般设备购置费、办公用房水电费、办公用房取暖费、办公用房物业管理费、公务用车运行维护费以及其他费用。</w:t>
      </w:r>
    </w:p>
    <w:sectPr>
      <w:pgSz w:w="11906" w:h="16838"/>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decorative"/>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Arial">
    <w:panose1 w:val="020B0604020202020204"/>
    <w:charset w:val="01"/>
    <w:family w:val="decorative"/>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方正小标宋_GBK">
    <w:altName w:val="微软雅黑"/>
    <w:panose1 w:val="00000000000000000000"/>
    <w:charset w:val="86"/>
    <w:family w:val="script"/>
    <w:pitch w:val="default"/>
    <w:sig w:usb0="00000000" w:usb1="00000000" w:usb2="00000010" w:usb3="00000000" w:csb0="00040000" w:csb1="00000000"/>
  </w:font>
  <w:font w:name="仿宋_GB2312">
    <w:panose1 w:val="02010609030101010101"/>
    <w:charset w:val="86"/>
    <w:family w:val="swiss"/>
    <w:pitch w:val="default"/>
    <w:sig w:usb0="00000001" w:usb1="080E0000" w:usb2="00000000" w:usb3="00000000" w:csb0="00040000" w:csb1="00000000"/>
  </w:font>
  <w:font w:name="ArialUnicodeMS">
    <w:altName w:val="Malgun Gothic"/>
    <w:panose1 w:val="00000000000000000000"/>
    <w:charset w:val="81"/>
    <w:family w:val="auto"/>
    <w:pitch w:val="default"/>
    <w:sig w:usb0="00000000" w:usb1="00000000" w:usb2="00000010" w:usb3="00000000" w:csb0="00080001" w:csb1="00000000"/>
  </w:font>
  <w:font w:name="MS-UIGothic,Bold">
    <w:altName w:val="Malgun Gothic"/>
    <w:panose1 w:val="00000000000000000000"/>
    <w:charset w:val="81"/>
    <w:family w:val="auto"/>
    <w:pitch w:val="default"/>
    <w:sig w:usb0="00000000" w:usb1="00000000" w:usb2="00000010" w:usb3="00000000" w:csb0="00080000" w:csb1="00000000"/>
  </w:font>
  <w:font w:name="DengXian-Regular">
    <w:altName w:val="宋体"/>
    <w:panose1 w:val="00000000000000000000"/>
    <w:charset w:val="86"/>
    <w:family w:val="auto"/>
    <w:pitch w:val="default"/>
    <w:sig w:usb0="00000000" w:usb1="00000000" w:usb2="00000010" w:usb3="00000000" w:csb0="00040001" w:csb1="00000000"/>
  </w:font>
  <w:font w:name="楷体_GB2312">
    <w:panose1 w:val="02010609030101010101"/>
    <w:charset w:val="86"/>
    <w:family w:val="swiss"/>
    <w:pitch w:val="default"/>
    <w:sig w:usb0="00000001" w:usb1="080E0000" w:usb2="00000000" w:usb3="00000000" w:csb0="00040000" w:csb1="00000000"/>
  </w:font>
  <w:font w:name="DengXian-Bold">
    <w:altName w:val="宋体"/>
    <w:panose1 w:val="00000000000000000000"/>
    <w:charset w:val="86"/>
    <w:family w:val="auto"/>
    <w:pitch w:val="default"/>
    <w:sig w:usb0="00000000" w:usb1="00000000" w:usb2="00000010" w:usb3="00000000" w:csb0="00040001" w:csb1="00000000"/>
  </w:font>
  <w:font w:name="TimesNewRomanPSMT">
    <w:altName w:val="Arial"/>
    <w:panose1 w:val="00000000000000000000"/>
    <w:charset w:val="00"/>
    <w:family w:val="decorative"/>
    <w:pitch w:val="default"/>
    <w:sig w:usb0="00000000" w:usb1="00000000" w:usb2="00000000" w:usb3="00000000" w:csb0="00000001" w:csb1="00000000"/>
  </w:font>
  <w:font w:name="SimSun,Bold">
    <w:altName w:val="宋体"/>
    <w:panose1 w:val="00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Malgun Gothic">
    <w:panose1 w:val="020B0503020000020004"/>
    <w:charset w:val="81"/>
    <w:family w:val="auto"/>
    <w:pitch w:val="default"/>
    <w:sig w:usb0="900002AF" w:usb1="01D77CFB" w:usb2="00000012" w:usb3="00000000" w:csb0="00080001" w:csb1="00000000"/>
  </w:font>
  <w:font w:name="仿宋_GB2312">
    <w:panose1 w:val="02010609030101010101"/>
    <w:charset w:val="86"/>
    <w:family w:val="auto"/>
    <w:pitch w:val="default"/>
    <w:sig w:usb0="00000001" w:usb1="080E0000" w:usb2="00000000" w:usb3="00000000" w:csb0="00040000" w:csb1="00000000"/>
  </w:font>
  <w:font w:name="黑体">
    <w:panose1 w:val="02010600030101010101"/>
    <w:charset w:val="86"/>
    <w:family w:val="auto"/>
    <w:pitch w:val="default"/>
    <w:sig w:usb0="800002BF" w:usb1="38CF7CFA" w:usb2="00000016" w:usb3="00000000" w:csb0="00040001"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00002FF" w:usb1="4000ACFF" w:usb2="00000001" w:usb3="00000000" w:csb0="2000019F" w:csb1="00000000"/>
  </w:font>
  <w:font w:name="Arial">
    <w:panose1 w:val="020B0604020202020204"/>
    <w:charset w:val="01"/>
    <w:family w:val="roman"/>
    <w:pitch w:val="default"/>
    <w:sig w:usb0="E0002AFF" w:usb1="C0007843" w:usb2="00000009" w:usb3="00000000" w:csb0="400001FF" w:csb1="FFFF0000"/>
  </w:font>
  <w:font w:name="Courier New">
    <w:panose1 w:val="02070309020205020404"/>
    <w:charset w:val="01"/>
    <w:family w:val="decorative"/>
    <w:pitch w:val="default"/>
    <w:sig w:usb0="E0002A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仿宋_GB2312">
    <w:panose1 w:val="02010609030101010101"/>
    <w:charset w:val="86"/>
    <w:family w:val="decorative"/>
    <w:pitch w:val="default"/>
    <w:sig w:usb0="00000001" w:usb1="080E0000" w:usb2="00000000" w:usb3="00000000" w:csb0="00040000" w:csb1="00000000"/>
  </w:font>
  <w:font w:name="楷体_GB2312">
    <w:panose1 w:val="02010609030101010101"/>
    <w:charset w:val="86"/>
    <w:family w:val="decorative"/>
    <w:pitch w:val="default"/>
    <w:sig w:usb0="00000001" w:usb1="080E0000" w:usb2="00000000" w:usb3="00000000" w:csb0="00040000" w:csb1="00000000"/>
  </w:font>
  <w:font w:name="TimesNewRomanPSMT">
    <w:altName w:val="Arial"/>
    <w:panose1 w:val="00000000000000000000"/>
    <w:charset w:val="00"/>
    <w:family w:val="roman"/>
    <w:pitch w:val="default"/>
    <w:sig w:usb0="00000000" w:usb1="00000000" w:usb2="00000000" w:usb3="00000000" w:csb0="00000001" w:csb1="00000000"/>
  </w:font>
  <w:font w:name="方正小标宋_GBK">
    <w:altName w:val="宋体"/>
    <w:panose1 w:val="03000509000000000000"/>
    <w:charset w:val="86"/>
    <w:family w:val="script"/>
    <w:pitch w:val="default"/>
    <w:sig w:usb0="00000000" w:usb1="00000000" w:usb2="00000010" w:usb3="00000000" w:csb0="00040000" w:csb1="00000000"/>
  </w:font>
  <w:font w:name="微软雅黑">
    <w:panose1 w:val="020B0503020204020204"/>
    <w:charset w:val="86"/>
    <w:family w:val="decorative"/>
    <w:pitch w:val="default"/>
    <w:sig w:usb0="80000287" w:usb1="280F3C52" w:usb2="00000016" w:usb3="00000000" w:csb0="0004001F" w:csb1="00000000"/>
  </w:font>
  <w:font w:name="仿宋">
    <w:panose1 w:val="02010609060101010101"/>
    <w:charset w:val="86"/>
    <w:family w:val="swiss"/>
    <w:pitch w:val="default"/>
    <w:sig w:usb0="800002BF" w:usb1="38CF7CFA" w:usb2="00000016" w:usb3="00000000" w:csb0="00040001" w:csb1="00000000"/>
  </w:font>
  <w:font w:name="黑体">
    <w:panose1 w:val="02010600030101010101"/>
    <w:charset w:val="86"/>
    <w:family w:val="swiss"/>
    <w:pitch w:val="default"/>
    <w:sig w:usb0="800002BF" w:usb1="38CF7CFA" w:usb2="00000016" w:usb3="00000000" w:csb0="00040001" w:csb1="00000000"/>
  </w:font>
  <w:font w:name="方正黑体_GBK">
    <w:altName w:val="宋体"/>
    <w:panose1 w:val="00000000000000000000"/>
    <w:charset w:val="86"/>
    <w:family w:val="modern"/>
    <w:pitch w:val="default"/>
    <w:sig w:usb0="00000000" w:usb1="00000000" w:usb2="00000000" w:usb3="00000000" w:csb0="00040001" w:csb1="00000000"/>
  </w:font>
  <w:font w:name="Arial">
    <w:panose1 w:val="020B0604020202020204"/>
    <w:charset w:val="00"/>
    <w:family w:val="auto"/>
    <w:pitch w:val="default"/>
    <w:sig w:usb0="E0002AFF" w:usb1="C0007843" w:usb2="00000009" w:usb3="00000000" w:csb0="400001FF" w:csb1="FFFF0000"/>
  </w:font>
  <w:font w:name="Cambria">
    <w:panose1 w:val="02040503050406030204"/>
    <w:charset w:val="00"/>
    <w:family w:val="decorative"/>
    <w:pitch w:val="default"/>
    <w:sig w:usb0="E00002FF" w:usb1="400004FF" w:usb2="00000000" w:usb3="00000000" w:csb0="2000019F" w:csb1="00000000"/>
  </w:font>
  <w:font w:name="Calibri">
    <w:panose1 w:val="020F0502020204030204"/>
    <w:charset w:val="00"/>
    <w:family w:val="modern"/>
    <w:pitch w:val="default"/>
    <w:sig w:usb0="E00002FF" w:usb1="4000ACFF" w:usb2="00000001" w:usb3="00000000" w:csb0="2000019F" w:csb1="00000000"/>
  </w:font>
  <w:font w:name="Arial">
    <w:panose1 w:val="020B0604020202020204"/>
    <w:charset w:val="01"/>
    <w:family w:val="modern"/>
    <w:pitch w:val="default"/>
    <w:sig w:usb0="E0002AFF" w:usb1="C0007843" w:usb2="00000009" w:usb3="00000000" w:csb0="400001FF" w:csb1="FFFF0000"/>
  </w:font>
  <w:font w:name="Courier New">
    <w:panose1 w:val="02070309020205020404"/>
    <w:charset w:val="01"/>
    <w:family w:val="roman"/>
    <w:pitch w:val="default"/>
    <w:sig w:usb0="E0002AFF" w:usb1="C0007843" w:usb2="00000009" w:usb3="00000000" w:csb0="400001FF" w:csb1="FFFF0000"/>
  </w:font>
  <w:font w:name="Symbol">
    <w:panose1 w:val="05050102010706020507"/>
    <w:charset w:val="02"/>
    <w:family w:val="decorative"/>
    <w:pitch w:val="default"/>
    <w:sig w:usb0="00000000" w:usb1="00000000" w:usb2="00000000" w:usb3="00000000" w:csb0="80000000" w:csb1="00000000"/>
  </w:font>
  <w:font w:name="仿宋_GB2312">
    <w:panose1 w:val="02010609030101010101"/>
    <w:charset w:val="86"/>
    <w:family w:val="roman"/>
    <w:pitch w:val="default"/>
    <w:sig w:usb0="00000001" w:usb1="080E0000" w:usb2="00000000" w:usb3="00000000" w:csb0="00040000" w:csb1="00000000"/>
  </w:font>
  <w:font w:name="楷体_GB2312">
    <w:panose1 w:val="02010609030101010101"/>
    <w:charset w:val="86"/>
    <w:family w:val="roman"/>
    <w:pitch w:val="default"/>
    <w:sig w:usb0="00000001" w:usb1="080E0000" w:usb2="00000000" w:usb3="00000000" w:csb0="00040000" w:csb1="00000000"/>
  </w:font>
  <w:font w:name="TimesNewRomanPSMT">
    <w:altName w:val="Arial"/>
    <w:panose1 w:val="00000000000000000000"/>
    <w:charset w:val="00"/>
    <w:family w:val="modern"/>
    <w:pitch w:val="default"/>
    <w:sig w:usb0="00000000" w:usb1="00000000" w:usb2="00000000" w:usb3="00000000" w:csb0="00000001" w:csb1="00000000"/>
  </w:font>
  <w:font w:name="微软雅黑">
    <w:panose1 w:val="020B0503020204020204"/>
    <w:charset w:val="86"/>
    <w:family w:val="roman"/>
    <w:pitch w:val="default"/>
    <w:sig w:usb0="80000287" w:usb1="280F3C52" w:usb2="00000016" w:usb3="00000000" w:csb0="0004001F" w:csb1="00000000"/>
  </w:font>
  <w:font w:name="仿宋">
    <w:panose1 w:val="02010609060101010101"/>
    <w:charset w:val="86"/>
    <w:family w:val="decorative"/>
    <w:pitch w:val="default"/>
    <w:sig w:usb0="800002BF" w:usb1="38CF7CFA" w:usb2="00000016" w:usb3="00000000" w:csb0="00040001" w:csb1="00000000"/>
  </w:font>
  <w:font w:name="黑体">
    <w:panose1 w:val="02010600030101010101"/>
    <w:charset w:val="86"/>
    <w:family w:val="decorative"/>
    <w:pitch w:val="default"/>
    <w:sig w:usb0="800002BF" w:usb1="38CF7CFA" w:usb2="00000016" w:usb3="00000000" w:csb0="00040001" w:csb1="00000000"/>
  </w:font>
  <w:font w:name="方正黑体_GBK">
    <w:altName w:val="宋体"/>
    <w:panose1 w:val="00000000000000000000"/>
    <w:charset w:val="86"/>
    <w:family w:val="swiss"/>
    <w:pitch w:val="default"/>
    <w:sig w:usb0="00000000" w:usb1="00000000" w:usb2="00000000" w:usb3="00000000" w:csb0="00040001"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TimesNewRomanPSMT">
    <w:altName w:val="Arial"/>
    <w:panose1 w:val="00000000000000000000"/>
    <w:charset w:val="00"/>
    <w:family w:val="swiss"/>
    <w:pitch w:val="default"/>
    <w:sig w:usb0="00000000" w:usb1="00000000" w:usb2="00000000" w:usb3="00000000" w:csb0="00000001" w:csb1="00000000"/>
  </w:font>
  <w:font w:name="微软雅黑">
    <w:panose1 w:val="020B0503020204020204"/>
    <w:charset w:val="86"/>
    <w:family w:val="modern"/>
    <w:pitch w:val="default"/>
    <w:sig w:usb0="80000287" w:usb1="280F3C52" w:usb2="00000016" w:usb3="00000000" w:csb0="0004001F" w:csb1="00000000"/>
  </w:font>
  <w:font w:name="仿宋">
    <w:panose1 w:val="02010609060101010101"/>
    <w:charset w:val="86"/>
    <w:family w:val="roman"/>
    <w:pitch w:val="default"/>
    <w:sig w:usb0="800002BF" w:usb1="38CF7CFA" w:usb2="00000016" w:usb3="00000000" w:csb0="00040001" w:csb1="00000000"/>
  </w:font>
  <w:font w:name="黑体">
    <w:panose1 w:val="02010600030101010101"/>
    <w:charset w:val="86"/>
    <w:family w:val="roman"/>
    <w:pitch w:val="default"/>
    <w:sig w:usb0="800002BF" w:usb1="38CF7CFA" w:usb2="00000016" w:usb3="00000000" w:csb0="00040001" w:csb1="00000000"/>
  </w:font>
  <w:font w:name="方正黑体_GBK">
    <w:altName w:val="宋体"/>
    <w:panose1 w:val="00000000000000000000"/>
    <w:charset w:val="86"/>
    <w:family w:val="decorative"/>
    <w:pitch w:val="default"/>
    <w:sig w:usb0="00000000" w:usb1="0000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3025987224">
    <w:nsid w:val="B45CE698"/>
    <w:multiLevelType w:val="singleLevel"/>
    <w:tmpl w:val="B45CE698"/>
    <w:lvl w:ilvl="0" w:tentative="1">
      <w:start w:val="4"/>
      <w:numFmt w:val="chineseCounting"/>
      <w:suff w:val="nothing"/>
      <w:lvlText w:val="（%1）"/>
      <w:lvlJc w:val="left"/>
      <w:rPr>
        <w:rFonts w:hint="eastAsia"/>
      </w:rPr>
    </w:lvl>
  </w:abstractNum>
  <w:abstractNum w:abstractNumId="715610193">
    <w:nsid w:val="2AA75851"/>
    <w:multiLevelType w:val="singleLevel"/>
    <w:tmpl w:val="2AA75851"/>
    <w:lvl w:ilvl="0" w:tentative="1">
      <w:start w:val="1"/>
      <w:numFmt w:val="decimal"/>
      <w:suff w:val="nothing"/>
      <w:lvlText w:val="%1、"/>
      <w:lvlJc w:val="left"/>
    </w:lvl>
  </w:abstractNum>
  <w:abstractNum w:abstractNumId="445883454">
    <w:nsid w:val="1A93A43E"/>
    <w:multiLevelType w:val="singleLevel"/>
    <w:tmpl w:val="1A93A43E"/>
    <w:lvl w:ilvl="0" w:tentative="1">
      <w:start w:val="1"/>
      <w:numFmt w:val="chineseCounting"/>
      <w:suff w:val="nothing"/>
      <w:lvlText w:val="（%1）"/>
      <w:lvlJc w:val="left"/>
      <w:rPr>
        <w:rFonts w:hint="eastAsia"/>
      </w:rPr>
    </w:lvl>
  </w:abstractNum>
  <w:num w:numId="1">
    <w:abstractNumId w:val="445883454"/>
  </w:num>
  <w:num w:numId="2">
    <w:abstractNumId w:val="3025987224"/>
  </w:num>
  <w:num w:numId="3">
    <w:abstractNumId w:val="71561019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1413"/>
    <w:rsid w:val="00024E7F"/>
    <w:rsid w:val="000475A0"/>
    <w:rsid w:val="000E2F81"/>
    <w:rsid w:val="00146C47"/>
    <w:rsid w:val="00152FB8"/>
    <w:rsid w:val="00185B66"/>
    <w:rsid w:val="001B3410"/>
    <w:rsid w:val="001C030D"/>
    <w:rsid w:val="001F0368"/>
    <w:rsid w:val="002C04C4"/>
    <w:rsid w:val="002D08B0"/>
    <w:rsid w:val="00341C8F"/>
    <w:rsid w:val="00391D9D"/>
    <w:rsid w:val="003B6C51"/>
    <w:rsid w:val="003C1413"/>
    <w:rsid w:val="003C549F"/>
    <w:rsid w:val="003D5A16"/>
    <w:rsid w:val="005F4B66"/>
    <w:rsid w:val="00641318"/>
    <w:rsid w:val="0070012A"/>
    <w:rsid w:val="0070664B"/>
    <w:rsid w:val="007071B8"/>
    <w:rsid w:val="007414DE"/>
    <w:rsid w:val="007905A9"/>
    <w:rsid w:val="007E5500"/>
    <w:rsid w:val="00840A97"/>
    <w:rsid w:val="008C0149"/>
    <w:rsid w:val="008F2E78"/>
    <w:rsid w:val="009A1ABE"/>
    <w:rsid w:val="00A35CE0"/>
    <w:rsid w:val="00A44AA4"/>
    <w:rsid w:val="00A61623"/>
    <w:rsid w:val="00A84687"/>
    <w:rsid w:val="00AD3B6E"/>
    <w:rsid w:val="00B56722"/>
    <w:rsid w:val="00C3774E"/>
    <w:rsid w:val="00C87FAB"/>
    <w:rsid w:val="00C91FF7"/>
    <w:rsid w:val="00C94E53"/>
    <w:rsid w:val="00DB35AF"/>
    <w:rsid w:val="00DF5B88"/>
    <w:rsid w:val="00E2595E"/>
    <w:rsid w:val="00E35374"/>
    <w:rsid w:val="00E50C19"/>
    <w:rsid w:val="00E856C9"/>
    <w:rsid w:val="00EB6A8B"/>
    <w:rsid w:val="00EF38C6"/>
    <w:rsid w:val="00FE3DC8"/>
    <w:rsid w:val="087C609E"/>
    <w:rsid w:val="0F5E20B4"/>
    <w:rsid w:val="178F5789"/>
    <w:rsid w:val="1AE4028A"/>
    <w:rsid w:val="1C870D60"/>
    <w:rsid w:val="209E6CDA"/>
    <w:rsid w:val="395C627F"/>
    <w:rsid w:val="3D5C60A8"/>
    <w:rsid w:val="54411B1D"/>
    <w:rsid w:val="552A29B7"/>
    <w:rsid w:val="55C320D1"/>
    <w:rsid w:val="722A42DE"/>
  </w:rsids>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1"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480" w:lineRule="auto"/>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9"/>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30"/>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31"/>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32"/>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3">
    <w:name w:val="Default Paragraph Font"/>
    <w:unhideWhenUsed/>
    <w:qFormat/>
    <w:uiPriority w:val="1"/>
  </w:style>
  <w:style w:type="table" w:default="1" w:styleId="15">
    <w:name w:val="Normal Table"/>
    <w:unhideWhenUsed/>
    <w:qFormat/>
    <w:uiPriority w:val="99"/>
    <w:tblPr>
      <w:tblLayout w:type="fixed"/>
      <w:tblCellMar>
        <w:top w:w="0" w:type="dxa"/>
        <w:left w:w="108" w:type="dxa"/>
        <w:bottom w:w="0" w:type="dxa"/>
        <w:right w:w="108" w:type="dxa"/>
      </w:tblCellMar>
    </w:tblPr>
  </w:style>
  <w:style w:type="paragraph" w:styleId="6">
    <w:name w:val="Date"/>
    <w:basedOn w:val="1"/>
    <w:next w:val="1"/>
    <w:link w:val="33"/>
    <w:unhideWhenUsed/>
    <w:qFormat/>
    <w:uiPriority w:val="99"/>
    <w:pPr>
      <w:ind w:left="100" w:leftChars="2500"/>
    </w:pPr>
  </w:style>
  <w:style w:type="paragraph" w:styleId="7">
    <w:name w:val="Balloon Text"/>
    <w:basedOn w:val="1"/>
    <w:link w:val="21"/>
    <w:unhideWhenUsed/>
    <w:qFormat/>
    <w:uiPriority w:val="99"/>
    <w:rPr>
      <w:sz w:val="18"/>
      <w:szCs w:val="18"/>
    </w:rPr>
  </w:style>
  <w:style w:type="paragraph" w:styleId="8">
    <w:name w:val="footer"/>
    <w:basedOn w:val="1"/>
    <w:link w:val="18"/>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9">
    <w:name w:val="header"/>
    <w:basedOn w:val="1"/>
    <w:link w:val="17"/>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10">
    <w:name w:val="Subtitle"/>
    <w:basedOn w:val="1"/>
    <w:next w:val="1"/>
    <w:link w:val="23"/>
    <w:qFormat/>
    <w:uiPriority w:val="11"/>
    <w:pPr>
      <w:widowControl/>
      <w:spacing w:after="200" w:line="276" w:lineRule="auto"/>
      <w:jc w:val="left"/>
    </w:pPr>
    <w:rPr>
      <w:rFonts w:asciiTheme="majorHAnsi" w:hAnsiTheme="majorHAnsi" w:eastAsiaTheme="majorEastAsia" w:cstheme="majorBidi"/>
      <w:i/>
      <w:iCs/>
      <w:color w:val="F0A22E" w:themeColor="accent1"/>
      <w:spacing w:val="15"/>
      <w:kern w:val="0"/>
      <w:sz w:val="24"/>
      <w14:textFill>
        <w14:solidFill>
          <w14:schemeClr w14:val="accent1"/>
        </w14:solidFill>
      </w14:textFill>
    </w:rPr>
  </w:style>
  <w:style w:type="paragraph" w:styleId="11">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12">
    <w:name w:val="Title"/>
    <w:basedOn w:val="1"/>
    <w:next w:val="1"/>
    <w:link w:val="22"/>
    <w:qFormat/>
    <w:uiPriority w:val="10"/>
    <w:pPr>
      <w:widowControl/>
      <w:pBdr>
        <w:bottom w:val="single" w:color="F0A22E" w:themeColor="accent1" w:sz="8" w:space="4"/>
      </w:pBdr>
      <w:spacing w:after="300"/>
      <w:contextualSpacing/>
      <w:jc w:val="left"/>
    </w:pPr>
    <w:rPr>
      <w:rFonts w:asciiTheme="majorHAnsi" w:hAnsiTheme="majorHAnsi" w:eastAsiaTheme="majorEastAsia" w:cstheme="majorBidi"/>
      <w:color w:val="3B2C24" w:themeColor="text2" w:themeShade="BF"/>
      <w:spacing w:val="5"/>
      <w:kern w:val="28"/>
      <w:sz w:val="52"/>
      <w:szCs w:val="52"/>
    </w:rPr>
  </w:style>
  <w:style w:type="character" w:styleId="14">
    <w:name w:val="Hyperlink"/>
    <w:basedOn w:val="13"/>
    <w:qFormat/>
    <w:uiPriority w:val="0"/>
    <w:rPr>
      <w:color w:val="0000FF"/>
      <w:u w:val="single"/>
    </w:rPr>
  </w:style>
  <w:style w:type="table" w:styleId="16">
    <w:name w:val="Table Grid"/>
    <w:basedOn w:val="15"/>
    <w:uiPriority w:val="1"/>
    <w:pPr>
      <w:spacing w:after="0" w:line="240" w:lineRule="auto"/>
    </w:pPr>
    <w:rPr>
      <w:kern w:val="0"/>
      <w:sz w:val="22"/>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character" w:customStyle="1" w:styleId="17">
    <w:name w:val="页眉 Char"/>
    <w:basedOn w:val="13"/>
    <w:link w:val="9"/>
    <w:uiPriority w:val="99"/>
    <w:rPr>
      <w:sz w:val="18"/>
      <w:szCs w:val="18"/>
    </w:rPr>
  </w:style>
  <w:style w:type="character" w:customStyle="1" w:styleId="18">
    <w:name w:val="页脚 Char"/>
    <w:basedOn w:val="13"/>
    <w:link w:val="8"/>
    <w:uiPriority w:val="99"/>
    <w:rPr>
      <w:sz w:val="18"/>
      <w:szCs w:val="18"/>
    </w:rPr>
  </w:style>
  <w:style w:type="paragraph" w:customStyle="1" w:styleId="19">
    <w:name w:val="No Spacing"/>
    <w:link w:val="20"/>
    <w:qFormat/>
    <w:uiPriority w:val="1"/>
    <w:pPr>
      <w:spacing w:after="160" w:line="480" w:lineRule="auto"/>
    </w:pPr>
    <w:rPr>
      <w:rFonts w:asciiTheme="minorHAnsi" w:hAnsiTheme="minorHAnsi" w:eastAsiaTheme="minorEastAsia" w:cstheme="minorBidi"/>
      <w:kern w:val="0"/>
      <w:sz w:val="22"/>
      <w:szCs w:val="22"/>
      <w:lang w:val="en-US" w:eastAsia="zh-CN" w:bidi="ar-SA"/>
    </w:rPr>
  </w:style>
  <w:style w:type="character" w:customStyle="1" w:styleId="20">
    <w:name w:val="无间隔 Char"/>
    <w:basedOn w:val="13"/>
    <w:link w:val="19"/>
    <w:uiPriority w:val="1"/>
    <w:rPr>
      <w:kern w:val="0"/>
      <w:sz w:val="22"/>
    </w:rPr>
  </w:style>
  <w:style w:type="character" w:customStyle="1" w:styleId="21">
    <w:name w:val="批注框文本 Char"/>
    <w:basedOn w:val="13"/>
    <w:link w:val="7"/>
    <w:semiHidden/>
    <w:uiPriority w:val="99"/>
    <w:rPr>
      <w:rFonts w:ascii="Times New Roman" w:hAnsi="Times New Roman" w:eastAsia="宋体" w:cs="Times New Roman"/>
      <w:sz w:val="18"/>
      <w:szCs w:val="18"/>
    </w:rPr>
  </w:style>
  <w:style w:type="character" w:customStyle="1" w:styleId="22">
    <w:name w:val="标题 Char"/>
    <w:basedOn w:val="13"/>
    <w:link w:val="12"/>
    <w:uiPriority w:val="10"/>
    <w:rPr>
      <w:rFonts w:asciiTheme="majorHAnsi" w:hAnsiTheme="majorHAnsi" w:eastAsiaTheme="majorEastAsia" w:cstheme="majorBidi"/>
      <w:color w:val="3B2C24" w:themeColor="text2" w:themeShade="BF"/>
      <w:spacing w:val="5"/>
      <w:kern w:val="28"/>
      <w:sz w:val="52"/>
      <w:szCs w:val="52"/>
    </w:rPr>
  </w:style>
  <w:style w:type="character" w:customStyle="1" w:styleId="23">
    <w:name w:val="副标题 Char"/>
    <w:basedOn w:val="13"/>
    <w:link w:val="10"/>
    <w:uiPriority w:val="11"/>
    <w:rPr>
      <w:rFonts w:asciiTheme="majorHAnsi" w:hAnsiTheme="majorHAnsi" w:eastAsiaTheme="majorEastAsia" w:cstheme="majorBidi"/>
      <w:i/>
      <w:iCs/>
      <w:color w:val="F0A22E" w:themeColor="accent1"/>
      <w:spacing w:val="15"/>
      <w:kern w:val="0"/>
      <w:sz w:val="24"/>
      <w:szCs w:val="24"/>
      <w14:textFill>
        <w14:solidFill>
          <w14:schemeClr w14:val="accent1"/>
        </w14:solidFill>
      </w14:textFill>
    </w:rPr>
  </w:style>
  <w:style w:type="character" w:customStyle="1" w:styleId="24">
    <w:name w:val="Style1"/>
    <w:basedOn w:val="13"/>
    <w:uiPriority w:val="1"/>
    <w:rPr>
      <w:rFonts w:asciiTheme="minorHAnsi" w:hAnsiTheme="minorEastAsia" w:eastAsiaTheme="minorEastAsia" w:cstheme="minorBidi"/>
      <w:sz w:val="22"/>
      <w:szCs w:val="22"/>
      <w:lang w:eastAsia="zh-CN"/>
    </w:rPr>
  </w:style>
  <w:style w:type="character" w:customStyle="1" w:styleId="25">
    <w:name w:val="Style2"/>
    <w:basedOn w:val="13"/>
    <w:uiPriority w:val="1"/>
    <w:rPr>
      <w:rFonts w:asciiTheme="minorHAnsi" w:hAnsiTheme="minorEastAsia" w:eastAsiaTheme="minorEastAsia" w:cstheme="minorBidi"/>
      <w:sz w:val="22"/>
      <w:szCs w:val="22"/>
      <w:lang w:eastAsia="zh-CN"/>
    </w:rPr>
  </w:style>
  <w:style w:type="character" w:customStyle="1" w:styleId="26">
    <w:name w:val="Style3"/>
    <w:basedOn w:val="13"/>
    <w:qFormat/>
    <w:uiPriority w:val="1"/>
    <w:rPr>
      <w:rFonts w:asciiTheme="minorHAnsi" w:hAnsiTheme="minorEastAsia" w:eastAsiaTheme="minorEastAsia" w:cstheme="minorBidi"/>
      <w:szCs w:val="22"/>
      <w:lang w:eastAsia="zh-CN"/>
    </w:rPr>
  </w:style>
  <w:style w:type="character" w:customStyle="1" w:styleId="27">
    <w:name w:val="Style4"/>
    <w:basedOn w:val="13"/>
    <w:uiPriority w:val="1"/>
    <w:rPr>
      <w:rFonts w:asciiTheme="minorHAnsi" w:hAnsiTheme="minorEastAsia" w:eastAsiaTheme="minorEastAsia" w:cstheme="minorBidi"/>
      <w:szCs w:val="22"/>
      <w:lang w:eastAsia="zh-CN"/>
    </w:rPr>
  </w:style>
  <w:style w:type="character" w:customStyle="1" w:styleId="28">
    <w:name w:val="Style5"/>
    <w:basedOn w:val="13"/>
    <w:uiPriority w:val="1"/>
    <w:rPr>
      <w:rFonts w:asciiTheme="minorHAnsi" w:hAnsiTheme="minorEastAsia" w:eastAsiaTheme="minorEastAsia" w:cstheme="minorBidi"/>
      <w:sz w:val="22"/>
      <w:szCs w:val="22"/>
      <w:lang w:eastAsia="zh-CN"/>
    </w:rPr>
  </w:style>
  <w:style w:type="character" w:customStyle="1" w:styleId="29">
    <w:name w:val="标题 1 Char"/>
    <w:basedOn w:val="13"/>
    <w:link w:val="2"/>
    <w:uiPriority w:val="9"/>
    <w:rPr>
      <w:rFonts w:ascii="Times New Roman" w:hAnsi="Times New Roman" w:eastAsia="宋体" w:cs="Times New Roman"/>
      <w:b/>
      <w:bCs/>
      <w:kern w:val="44"/>
      <w:sz w:val="44"/>
      <w:szCs w:val="44"/>
    </w:rPr>
  </w:style>
  <w:style w:type="character" w:customStyle="1" w:styleId="30">
    <w:name w:val="标题 2 Char"/>
    <w:basedOn w:val="13"/>
    <w:link w:val="3"/>
    <w:uiPriority w:val="9"/>
    <w:rPr>
      <w:rFonts w:asciiTheme="majorHAnsi" w:hAnsiTheme="majorHAnsi" w:eastAsiaTheme="majorEastAsia" w:cstheme="majorBidi"/>
      <w:b/>
      <w:bCs/>
      <w:sz w:val="32"/>
      <w:szCs w:val="32"/>
    </w:rPr>
  </w:style>
  <w:style w:type="character" w:customStyle="1" w:styleId="31">
    <w:name w:val="标题 3 Char"/>
    <w:basedOn w:val="13"/>
    <w:link w:val="4"/>
    <w:uiPriority w:val="9"/>
    <w:rPr>
      <w:rFonts w:ascii="Times New Roman" w:hAnsi="Times New Roman" w:eastAsia="宋体" w:cs="Times New Roman"/>
      <w:b/>
      <w:bCs/>
      <w:sz w:val="32"/>
      <w:szCs w:val="32"/>
    </w:rPr>
  </w:style>
  <w:style w:type="character" w:customStyle="1" w:styleId="32">
    <w:name w:val="标题 4 Char"/>
    <w:basedOn w:val="13"/>
    <w:link w:val="5"/>
    <w:uiPriority w:val="9"/>
    <w:rPr>
      <w:rFonts w:asciiTheme="majorHAnsi" w:hAnsiTheme="majorHAnsi" w:eastAsiaTheme="majorEastAsia" w:cstheme="majorBidi"/>
      <w:b/>
      <w:bCs/>
      <w:sz w:val="28"/>
      <w:szCs w:val="28"/>
    </w:rPr>
  </w:style>
  <w:style w:type="character" w:customStyle="1" w:styleId="33">
    <w:name w:val="日期 Char"/>
    <w:basedOn w:val="13"/>
    <w:link w:val="6"/>
    <w:semiHidden/>
    <w:qFormat/>
    <w:uiPriority w:val="99"/>
    <w:rPr>
      <w:rFonts w:ascii="Times New Roman" w:hAnsi="Times New Roman" w:eastAsia="宋体" w:cs="Times New Roman"/>
      <w:szCs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3.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chart" Target="charts/chart2.xml"/><Relationship Id="rId4" Type="http://schemas.openxmlformats.org/officeDocument/2006/relationships/chart" Target="charts/chart1.xml"/><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_rels/chart2.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package" Target="../embeddings/Workbook2.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lgn="ctr" defTabSz="914400">
              <a:defRPr lang="zh-CN" sz="1400" b="0" i="0" u="none" strike="noStrike" kern="1200" spc="0" baseline="0">
                <a:solidFill>
                  <a:schemeClr val="tx1">
                    <a:lumMod val="65000"/>
                    <a:lumOff val="35000"/>
                  </a:schemeClr>
                </a:solidFill>
                <a:latin typeface="+mn-lt"/>
                <a:ea typeface="+mn-ea"/>
                <a:cs typeface="+mn-cs"/>
              </a:defRPr>
            </a:pPr>
            <a:r>
              <a:t>收入决算</a:t>
            </a:r>
          </a:p>
        </c:rich>
      </c:tx>
      <c:layout/>
      <c:overlay val="0"/>
      <c:spPr>
        <a:noFill/>
        <a:ln>
          <a:noFill/>
        </a:ln>
        <a:effectLst/>
      </c:spPr>
    </c:title>
    <c:autoTitleDeleted val="0"/>
    <c:plotArea>
      <c:layout/>
      <c:pieChart>
        <c:varyColors val="1"/>
        <c:ser>
          <c:idx val="0"/>
          <c:order val="0"/>
          <c:tx>
            <c:strRef>
              <c:f>Sheet1!$B$1</c:f>
              <c:strCache>
                <c:ptCount val="1"/>
                <c:pt idx="0">
                  <c:v>销售额</c:v>
                </c:pt>
              </c:strCache>
            </c:strRef>
          </c:tx>
          <c:spPr>
            <a:effectLst/>
          </c:spPr>
          <c:explosion val="0"/>
          <c:dPt>
            <c:idx val="0"/>
            <c:bubble3D val="0"/>
            <c:explosion val="0"/>
            <c:spPr>
              <a:solidFill>
                <a:schemeClr val="accent1">
                  <a:tint val="100000"/>
                  <a:shade val="100000"/>
                  <a:hueMod val="100000"/>
                  <a:satMod val="100000"/>
                </a:schemeClr>
              </a:solidFill>
              <a:ln w="19050">
                <a:solidFill>
                  <a:schemeClr val="lt1"/>
                </a:solidFill>
              </a:ln>
              <a:effectLst/>
            </c:spPr>
          </c:dPt>
          <c:dPt>
            <c:idx val="1"/>
            <c:bubble3D val="0"/>
            <c:explosion val="0"/>
            <c:spPr>
              <a:solidFill>
                <a:schemeClr val="accent2">
                  <a:tint val="100000"/>
                  <a:shade val="100000"/>
                  <a:hueMod val="100000"/>
                  <a:satMod val="100000"/>
                </a:schemeClr>
              </a:solidFill>
              <a:ln w="19050">
                <a:solidFill>
                  <a:schemeClr val="lt1"/>
                </a:solidFill>
              </a:ln>
              <a:effectLst/>
            </c:spPr>
          </c:dPt>
          <c:dPt>
            <c:idx val="2"/>
            <c:bubble3D val="0"/>
            <c:explosion val="0"/>
            <c:spPr>
              <a:solidFill>
                <a:schemeClr val="accent3">
                  <a:tint val="100000"/>
                  <a:shade val="100000"/>
                  <a:hueMod val="100000"/>
                  <a:satMod val="100000"/>
                </a:schemeClr>
              </a:solidFill>
              <a:ln w="19050">
                <a:solidFill>
                  <a:schemeClr val="lt1"/>
                </a:solidFill>
              </a:ln>
              <a:effectLst/>
            </c:spPr>
          </c:dPt>
          <c:dPt>
            <c:idx val="3"/>
            <c:bubble3D val="0"/>
            <c:explosion val="0"/>
            <c:spPr>
              <a:solidFill>
                <a:schemeClr val="accent4">
                  <a:tint val="100000"/>
                  <a:shade val="100000"/>
                  <a:hueMod val="100000"/>
                  <a:satMod val="100000"/>
                </a:schemeClr>
              </a:solidFill>
              <a:ln w="19050">
                <a:solidFill>
                  <a:schemeClr val="lt1"/>
                </a:solidFill>
              </a:ln>
              <a:effectLst/>
            </c:spPr>
          </c:dPt>
          <c:dLbls>
            <c:numFmt formatCode="General" sourceLinked="1"/>
            <c:spPr>
              <a:noFill/>
              <a:ln>
                <a:noFill/>
              </a:ln>
              <a:effectLst/>
            </c:spPr>
            <c:txPr>
              <a:bodyPr rot="0" spcFirstLastPara="0" vertOverflow="ellipsis" horzOverflow="overflow"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inEnd"/>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Sheet1!$A$2:$A$5</c:f>
              <c:strCache>
                <c:ptCount val="4"/>
                <c:pt idx="0">
                  <c:v>财政拨款</c:v>
                </c:pt>
                <c:pt idx="1">
                  <c:v>事业收入</c:v>
                </c:pt>
                <c:pt idx="2">
                  <c:v>经营收入</c:v>
                </c:pt>
                <c:pt idx="3">
                  <c:v>其他收入</c:v>
                </c:pt>
              </c:strCache>
            </c:strRef>
          </c:cat>
          <c:val>
            <c:numRef>
              <c:f>Sheet1!$B$2:$B$5</c:f>
              <c:numCache>
                <c:formatCode>General</c:formatCode>
                <c:ptCount val="4"/>
                <c:pt idx="0" c:formatCode="General">
                  <c:v>10</c:v>
                </c:pt>
                <c:pt idx="1" c:formatCode="General">
                  <c:v>0</c:v>
                </c:pt>
                <c:pt idx="2" c:formatCode="General">
                  <c:v>0</c:v>
                </c:pt>
                <c:pt idx="3" c:formatCode="General">
                  <c:v>0</c:v>
                </c:pt>
              </c:numCache>
            </c:numRef>
          </c:val>
        </c:ser>
        <c:dLbls>
          <c:dLblPos val="bestFit"/>
          <c:showLegendKey val="0"/>
          <c:showVal val="0"/>
          <c:showCatName val="0"/>
          <c:showSerName val="0"/>
          <c:showPercent val="0"/>
          <c:showBubbleSize val="0"/>
          <c:showLeaderLines val="1"/>
        </c:dLbls>
        <c:firstSliceAng val="0"/>
      </c:pieChart>
      <c:spPr>
        <a:noFill/>
        <a:ln>
          <a:noFill/>
        </a:ln>
        <a:effectLst/>
      </c:spPr>
    </c:plotArea>
    <c:legend>
      <c:legendPos val="r"/>
      <c:legendEntry>
        <c:idx val="0"/>
        <c:txPr>
          <a:bodyPr rot="0" spcFirstLastPara="0" vertOverflow="ellipsis" horzOverflow="overflow" vert="horz" wrap="square" anchor="ctr" anchorCtr="1"/>
          <a:lstStyle/>
          <a:p>
            <a:pPr>
              <a:defRPr lang="zh-CN" sz="900" b="0" i="0" u="none" strike="noStrike" kern="1200" baseline="0">
                <a:solidFill>
                  <a:schemeClr val="dk1"/>
                </a:solidFill>
                <a:latin typeface="+mn-lt"/>
                <a:ea typeface="+mn-ea"/>
                <a:cs typeface="+mn-cs"/>
              </a:defRPr>
            </a:pPr>
          </a:p>
        </c:txPr>
      </c:legendEntry>
      <c:legendEntry>
        <c:idx val="1"/>
        <c:txPr>
          <a:bodyPr rot="0" spcFirstLastPara="0" vertOverflow="ellipsis" horzOverflow="overflow" vert="horz" wrap="square" anchor="ctr" anchorCtr="1"/>
          <a:lstStyle/>
          <a:p>
            <a:pPr>
              <a:defRPr lang="zh-CN" sz="900" b="0" i="0" u="none" strike="noStrike" kern="1200" baseline="0">
                <a:solidFill>
                  <a:schemeClr val="dk1"/>
                </a:solidFill>
                <a:latin typeface="+mn-lt"/>
                <a:ea typeface="+mn-ea"/>
                <a:cs typeface="+mn-cs"/>
              </a:defRPr>
            </a:pPr>
          </a:p>
        </c:txPr>
      </c:legendEntry>
      <c:legendEntry>
        <c:idx val="2"/>
        <c:txPr>
          <a:bodyPr rot="0" spcFirstLastPara="0" vertOverflow="ellipsis" horzOverflow="overflow" vert="horz" wrap="square" anchor="ctr" anchorCtr="1"/>
          <a:lstStyle/>
          <a:p>
            <a:pPr>
              <a:defRPr lang="zh-CN" sz="900" b="0" i="0" u="none" strike="noStrike" kern="1200" baseline="0">
                <a:solidFill>
                  <a:schemeClr val="dk1"/>
                </a:solidFill>
                <a:latin typeface="+mn-lt"/>
                <a:ea typeface="+mn-ea"/>
                <a:cs typeface="+mn-cs"/>
              </a:defRPr>
            </a:pPr>
          </a:p>
        </c:txPr>
      </c:legendEntry>
      <c:legendEntry>
        <c:idx val="3"/>
        <c:txPr>
          <a:bodyPr rot="0" spcFirstLastPara="0" vertOverflow="ellipsis" horzOverflow="overflow" vert="horz" wrap="square" anchor="ctr" anchorCtr="1"/>
          <a:lstStyle/>
          <a:p>
            <a:pPr>
              <a:defRPr lang="zh-CN" sz="900" b="0" i="0" u="none" strike="noStrike" kern="1200" baseline="0">
                <a:solidFill>
                  <a:schemeClr val="dk1"/>
                </a:solidFill>
                <a:latin typeface="+mn-lt"/>
                <a:ea typeface="+mn-ea"/>
                <a:cs typeface="+mn-cs"/>
              </a:defRPr>
            </a:pPr>
          </a:p>
        </c:txPr>
      </c:legendEntry>
      <c:layout/>
      <c:overlay val="0"/>
      <c:spPr>
        <a:noFill/>
        <a:ln>
          <a:noFill/>
        </a:ln>
        <a:effectLst/>
      </c:spPr>
      <c:txPr>
        <a:bodyPr rot="0" spcFirstLastPara="0" vertOverflow="ellipsis" horzOverflow="overflow" vert="horz" wrap="square" anchor="ctr" anchorCtr="1"/>
        <a:lstStyle/>
        <a:p>
          <a:pPr>
            <a:defRPr lang="zh-CN" sz="900" b="0" i="0" u="none" strike="noStrike" kern="1200" baseline="0">
              <a:solidFill>
                <a:schemeClr val="dk1"/>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rot="0" spcFirstLastPara="0" vertOverflow="ellipsis" horzOverflow="overflow" vert="horz" wrap="square" anchor="ctr" anchorCtr="1"/>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lgn="ctr" defTabSz="914400">
              <a:defRPr lang="zh-CN" sz="1400" b="0" i="0" u="none" strike="noStrike" kern="1200" spc="0" baseline="0">
                <a:solidFill>
                  <a:schemeClr val="tx1">
                    <a:lumMod val="65000"/>
                    <a:lumOff val="35000"/>
                  </a:schemeClr>
                </a:solidFill>
                <a:latin typeface="+mn-lt"/>
                <a:ea typeface="+mn-ea"/>
                <a:cs typeface="+mn-cs"/>
              </a:defRPr>
            </a:pPr>
            <a:r>
              <a:t>支出决算</a:t>
            </a:r>
          </a:p>
        </c:rich>
      </c:tx>
      <c:layout/>
      <c:overlay val="0"/>
      <c:spPr>
        <a:noFill/>
        <a:ln>
          <a:noFill/>
        </a:ln>
        <a:effectLst/>
      </c:spPr>
    </c:title>
    <c:autoTitleDeleted val="0"/>
    <c:plotArea>
      <c:layout/>
      <c:pieChart>
        <c:varyColors val="1"/>
        <c:ser>
          <c:idx val="0"/>
          <c:order val="0"/>
          <c:tx>
            <c:strRef>
              <c:f>Sheet1!$B$1</c:f>
              <c:strCache>
                <c:ptCount val="1"/>
                <c:pt idx="0">
                  <c:v>销售额</c:v>
                </c:pt>
              </c:strCache>
            </c:strRef>
          </c:tx>
          <c:spPr>
            <a:effectLst/>
          </c:spPr>
          <c:explosion val="0"/>
          <c:dPt>
            <c:idx val="0"/>
            <c:bubble3D val="0"/>
            <c:explosion val="0"/>
            <c:spPr>
              <a:solidFill>
                <a:schemeClr val="accent1">
                  <a:tint val="100000"/>
                  <a:shade val="100000"/>
                  <a:hueMod val="100000"/>
                  <a:satMod val="100000"/>
                </a:schemeClr>
              </a:solidFill>
              <a:ln w="19050">
                <a:solidFill>
                  <a:schemeClr val="lt1"/>
                </a:solidFill>
              </a:ln>
              <a:effectLst/>
            </c:spPr>
          </c:dPt>
          <c:dPt>
            <c:idx val="1"/>
            <c:bubble3D val="0"/>
            <c:explosion val="0"/>
            <c:spPr>
              <a:solidFill>
                <a:schemeClr val="accent2">
                  <a:tint val="100000"/>
                  <a:shade val="100000"/>
                  <a:hueMod val="100000"/>
                  <a:satMod val="100000"/>
                </a:schemeClr>
              </a:solidFill>
              <a:ln w="19050">
                <a:solidFill>
                  <a:schemeClr val="lt1"/>
                </a:solidFill>
              </a:ln>
              <a:effectLst/>
            </c:spPr>
          </c:dPt>
          <c:dPt>
            <c:idx val="2"/>
            <c:bubble3D val="0"/>
            <c:explosion val="0"/>
            <c:spPr>
              <a:solidFill>
                <a:schemeClr val="accent3">
                  <a:tint val="100000"/>
                  <a:shade val="100000"/>
                  <a:hueMod val="100000"/>
                  <a:satMod val="100000"/>
                </a:schemeClr>
              </a:solidFill>
              <a:ln w="19050">
                <a:solidFill>
                  <a:schemeClr val="lt1"/>
                </a:solidFill>
              </a:ln>
              <a:effectLst/>
            </c:spPr>
          </c:dPt>
          <c:dPt>
            <c:idx val="3"/>
            <c:bubble3D val="0"/>
            <c:explosion val="0"/>
            <c:spPr>
              <a:solidFill>
                <a:schemeClr val="accent4">
                  <a:tint val="100000"/>
                  <a:shade val="100000"/>
                  <a:hueMod val="100000"/>
                  <a:satMod val="100000"/>
                </a:schemeClr>
              </a:solidFill>
              <a:ln w="19050">
                <a:solidFill>
                  <a:schemeClr val="lt1"/>
                </a:solidFill>
              </a:ln>
              <a:effectLst/>
            </c:spPr>
          </c:dPt>
          <c:dLbls>
            <c:delete val="1"/>
          </c:dLbls>
          <c:cat>
            <c:strRef>
              <c:f>Sheet1!$A$2:$A$5</c:f>
              <c:strCache>
                <c:ptCount val="4"/>
                <c:pt idx="0">
                  <c:v>基本支出</c:v>
                </c:pt>
                <c:pt idx="1">
                  <c:v>项目支出</c:v>
                </c:pt>
                <c:pt idx="2">
                  <c:v>经营支出</c:v>
                </c:pt>
              </c:strCache>
            </c:strRef>
          </c:cat>
          <c:val>
            <c:numRef>
              <c:f>Sheet1!$B$2:$B$5</c:f>
              <c:numCache>
                <c:formatCode>General</c:formatCode>
                <c:ptCount val="4"/>
                <c:pt idx="0" c:formatCode="General">
                  <c:v>7.456</c:v>
                </c:pt>
                <c:pt idx="1" c:formatCode="General">
                  <c:v>2.554</c:v>
                </c:pt>
                <c:pt idx="2" c:formatCode="General">
                  <c:v>0</c:v>
                </c:pt>
              </c:numCache>
            </c:numRef>
          </c:val>
        </c:ser>
        <c:dLbls>
          <c:dLblPos val="bestFit"/>
          <c:showLegendKey val="0"/>
          <c:showVal val="0"/>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horzOverflow="overflow"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rot="0" spcFirstLastPara="0" vertOverflow="ellipsis" horzOverflow="overflow" vert="horz" wrap="square" anchor="ctr" anchorCtr="1"/>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跋涉">
      <a:dk1>
        <a:sysClr val="windowText" lastClr="000000"/>
      </a:dk1>
      <a:lt1>
        <a:sysClr val="window" lastClr="FFFFFF"/>
      </a:lt1>
      <a:dk2>
        <a:srgbClr val="4E3B30"/>
      </a:dk2>
      <a:lt2>
        <a:srgbClr val="FBEEC9"/>
      </a:lt2>
      <a:accent1>
        <a:srgbClr val="F0A22E"/>
      </a:accent1>
      <a:accent2>
        <a:srgbClr val="A5644E"/>
      </a:accent2>
      <a:accent3>
        <a:srgbClr val="B58B80"/>
      </a:accent3>
      <a:accent4>
        <a:srgbClr val="C3986D"/>
      </a:accent4>
      <a:accent5>
        <a:srgbClr val="A19574"/>
      </a:accent5>
      <a:accent6>
        <a:srgbClr val="C17529"/>
      </a:accent6>
      <a:hlink>
        <a:srgbClr val="AD1F1F"/>
      </a:hlink>
      <a:folHlink>
        <a:srgbClr val="FFC42F"/>
      </a:folHlink>
    </a:clrScheme>
    <a:fontScheme name="Office 2">
      <a:majorFont>
        <a:latin typeface="Calibri"/>
        <a:ea typeface=""/>
        <a:cs typeface=""/>
        <a:font script="Jpan" typeface="HGｺﾞｼｯｸM"/>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mbria"/>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凤舞九天">
      <a:fillStyleLst>
        <a:solidFill>
          <a:schemeClr val="phClr">
            <a:tint val="100000"/>
            <a:shade val="100000"/>
            <a:hueMod val="100000"/>
            <a:satMod val="100000"/>
          </a:schemeClr>
        </a:solidFill>
        <a:gradFill rotWithShape="1">
          <a:gsLst>
            <a:gs pos="0">
              <a:schemeClr val="phClr">
                <a:tint val="65000"/>
                <a:satMod val="180000"/>
              </a:schemeClr>
            </a:gs>
            <a:gs pos="50000">
              <a:schemeClr val="phClr">
                <a:tint val="40000"/>
                <a:satMod val="175000"/>
              </a:schemeClr>
            </a:gs>
            <a:gs pos="100000">
              <a:schemeClr val="phClr">
                <a:tint val="65000"/>
                <a:satMod val="180000"/>
              </a:schemeClr>
            </a:gs>
          </a:gsLst>
          <a:lin ang="0" scaled="1"/>
        </a:gradFill>
        <a:gradFill rotWithShape="1">
          <a:gsLst>
            <a:gs pos="0">
              <a:schemeClr val="phClr">
                <a:shade val="38000"/>
                <a:satMod val="150000"/>
              </a:schemeClr>
            </a:gs>
            <a:gs pos="50000">
              <a:schemeClr val="phClr">
                <a:shade val="100000"/>
                <a:satMod val="100000"/>
              </a:schemeClr>
            </a:gs>
            <a:gs pos="100000">
              <a:schemeClr val="phClr">
                <a:shade val="38000"/>
                <a:satMod val="150000"/>
              </a:schemeClr>
            </a:gs>
          </a:gsLst>
          <a:lin ang="0" scaled="1"/>
        </a:gradFill>
      </a:fillStyleLst>
      <a:lnStyleLst>
        <a:ln w="12700" cap="flat" cmpd="sng" algn="ctr">
          <a:solidFill>
            <a:schemeClr val="phClr"/>
          </a:solidFill>
          <a:prstDash val="solid"/>
        </a:ln>
        <a:ln w="25400" cap="flat" cmpd="sng" algn="ctr">
          <a:solidFill>
            <a:schemeClr val="phClr"/>
          </a:solidFill>
          <a:prstDash val="solid"/>
        </a:ln>
        <a:ln w="38100" cap="flat" cmpd="dbl" algn="ctr">
          <a:solidFill>
            <a:schemeClr val="phClr"/>
          </a:solidFill>
          <a:prstDash val="solid"/>
        </a:ln>
      </a:lnStyleLst>
      <a:effectStyleLst>
        <a:effectStyle>
          <a:effectLst>
            <a:outerShdw blurRad="190500" dist="78600" dir="2700000" rotWithShape="0">
              <a:srgbClr val="000000">
                <a:alpha val="35500"/>
              </a:srgbClr>
            </a:outerShdw>
          </a:effectLst>
        </a:effectStyle>
        <a:effectStyle>
          <a:effectLst>
            <a:outerShdw blurRad="190500" dist="78600" dir="2700000" rotWithShape="0">
              <a:srgbClr val="000000">
                <a:alpha val="35500"/>
              </a:srgbClr>
            </a:outerShdw>
          </a:effectLst>
        </a:effectStyle>
        <a:effectStyle>
          <a:effectLst>
            <a:outerShdw blurRad="190500" dist="78600" dir="2700000" rotWithShape="0">
              <a:srgbClr val="000000">
                <a:alpha val="35500"/>
              </a:srgbClr>
            </a:outerShdw>
          </a:effectLst>
          <a:scene3d>
            <a:camera prst="orthographicFront" fov="0">
              <a:rot lat="0" lon="0" rev="0"/>
            </a:camera>
            <a:lightRig rig="soft" dir="tl">
              <a:rot lat="0" lon="0" rev="20100000"/>
            </a:lightRig>
          </a:scene3d>
          <a:sp3d>
            <a:bevelT w="50800" h="508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overPageProperties xmlns="http://schemas.microsoft.com/office/2006/coverPageProps">
  <PublishDate>2017</PublishDate>
  <Abstract/>
  <CompanyAddress/>
  <CompanyPhone/>
  <CompanyFax/>
  <CompanyEmail/>
</CoverPagePropertie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4D3A527-2CFD-4B4B-9633-E37B1F7D2C64}">
  <ds:schemaRefs/>
</ds:datastoreItem>
</file>

<file path=customXml/itemProps3.xml><?xml version="1.0" encoding="utf-8"?>
<ds:datastoreItem xmlns:ds="http://schemas.openxmlformats.org/officeDocument/2006/customXml" ds:itemID="{55AF091B-3C7A-41E3-B477-F2FDAA23CFD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15</Pages>
  <Words>899</Words>
  <Characters>5130</Characters>
  <Lines>42</Lines>
  <Paragraphs>12</Paragraphs>
  <TotalTime>0</TotalTime>
  <ScaleCrop>false</ScaleCrop>
  <LinksUpToDate>false</LinksUpToDate>
  <CharactersWithSpaces>6017</CharactersWithSpaces>
  <Application>WPS Office_10.8.0.5562_F1E327BC-269C-435d-A152-05C5408002CA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2019-01-22T07:39:00Z</dcterms:created>
  <dc:creator>User</dc:creator>
  <cp:lastModifiedBy>Administrator</cp:lastModifiedBy>
  <dcterms:modified xsi:type="dcterms:W3CDTF">2019-03-16T07:24:59Z</dcterms:modified>
  <dc:subject>石家庄市xxx部门</dc:subject>
  <dc:title>2017年度部门决算</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2052-10.8.0.5562</vt:lpwstr>
  </property>
</Properties>
</file>