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石家庄市鹿泉区人民代表大会常务委员会</w:t>
      </w:r>
    </w:p>
    <w:p>
      <w:pPr>
        <w:ind w:firstLine="880" w:firstLineChars="200"/>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w:t>
      </w:r>
      <w:r>
        <w:rPr>
          <w:rFonts w:hint="eastAsia" w:ascii="仿宋" w:hAnsi="仿宋" w:eastAsia="仿宋" w:cs="仿宋"/>
          <w:sz w:val="32"/>
          <w:szCs w:val="32"/>
          <w:lang w:eastAsia="zh-CN"/>
        </w:rPr>
        <w:t>石家庄市鹿泉区人民代表大会常务委员会</w:t>
      </w:r>
      <w:r>
        <w:rPr>
          <w:rFonts w:hint="eastAsia" w:ascii="仿宋" w:hAnsi="仿宋" w:eastAsia="仿宋" w:cs="仿宋"/>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ind w:firstLine="560"/>
        <w:rPr>
          <w:rFonts w:hint="eastAsia" w:ascii="仿宋_GB2312" w:eastAsia="仿宋_GB2312"/>
          <w:sz w:val="32"/>
          <w:szCs w:val="32"/>
        </w:rPr>
      </w:pPr>
      <w:r>
        <w:rPr>
          <w:rFonts w:hint="eastAsia" w:ascii="仿宋_GB2312" w:hAnsi="宋体" w:eastAsia="仿宋_GB2312"/>
          <w:color w:val="000000"/>
          <w:sz w:val="32"/>
          <w:szCs w:val="32"/>
        </w:rPr>
        <w:t xml:space="preserve"> </w:t>
      </w:r>
      <w:r>
        <w:rPr>
          <w:rFonts w:hint="eastAsia" w:ascii="仿宋_GB2312" w:eastAsia="仿宋_GB2312"/>
          <w:sz w:val="32"/>
          <w:szCs w:val="32"/>
        </w:rPr>
        <w:t>（一）人大监督</w:t>
      </w:r>
    </w:p>
    <w:p>
      <w:pPr>
        <w:ind w:firstLine="560"/>
        <w:rPr>
          <w:rFonts w:hint="eastAsia" w:ascii="仿宋_GB2312" w:eastAsia="仿宋_GB2312"/>
          <w:sz w:val="32"/>
          <w:szCs w:val="32"/>
        </w:rPr>
      </w:pPr>
      <w:r>
        <w:rPr>
          <w:rFonts w:hint="eastAsia" w:ascii="仿宋_GB2312" w:eastAsia="仿宋_GB2312"/>
          <w:sz w:val="32"/>
          <w:szCs w:val="32"/>
        </w:rPr>
        <w:t>1、监督宪法和法律在我区行政区域内正确实施。2、监督一府两院依法开展工作。3、监督区本级预算按照区人代会通过的预算有效实施。4、监督经济和社会发展计划有效实施。</w:t>
      </w:r>
    </w:p>
    <w:p>
      <w:pPr>
        <w:ind w:firstLine="560"/>
        <w:rPr>
          <w:rFonts w:hint="eastAsia" w:ascii="仿宋_GB2312" w:eastAsia="仿宋_GB2312"/>
          <w:sz w:val="32"/>
          <w:szCs w:val="32"/>
        </w:rPr>
      </w:pPr>
      <w:r>
        <w:rPr>
          <w:rFonts w:hint="eastAsia" w:ascii="仿宋_GB2312" w:eastAsia="仿宋_GB2312"/>
          <w:sz w:val="32"/>
          <w:szCs w:val="32"/>
        </w:rPr>
        <w:t>（二）人大会议</w:t>
      </w:r>
    </w:p>
    <w:p>
      <w:pPr>
        <w:ind w:firstLine="560"/>
        <w:rPr>
          <w:rFonts w:hint="eastAsia" w:ascii="仿宋_GB2312" w:eastAsia="仿宋_GB2312"/>
          <w:sz w:val="32"/>
          <w:szCs w:val="32"/>
        </w:rPr>
      </w:pPr>
      <w:r>
        <w:rPr>
          <w:rFonts w:hint="eastAsia" w:ascii="仿宋_GB2312" w:eastAsia="仿宋_GB2312"/>
          <w:sz w:val="32"/>
          <w:szCs w:val="32"/>
        </w:rPr>
        <w:t>1、在人大代表和区人大常委充分发表审议意见的基础上，作出我区区经济社会发展计划、区总预算和区本级预算等决议。2、通过听取和审议一府两院等工作报告，作出有关报告的决议。3、通过质询、专题询问和工作评议的方式就一府两院的工作进行监督。4、为保证我区重大决策的科学性和法定性，实施作出有关我区重大问题的决定。5、高效、精细的筹备区人大会。</w:t>
      </w:r>
    </w:p>
    <w:p>
      <w:pPr>
        <w:ind w:firstLine="560"/>
        <w:rPr>
          <w:rFonts w:hint="eastAsia" w:ascii="仿宋_GB2312" w:eastAsia="仿宋_GB2312"/>
          <w:sz w:val="32"/>
          <w:szCs w:val="32"/>
        </w:rPr>
      </w:pPr>
      <w:r>
        <w:rPr>
          <w:rFonts w:hint="eastAsia" w:ascii="仿宋_GB2312" w:eastAsia="仿宋_GB2312"/>
          <w:sz w:val="32"/>
          <w:szCs w:val="32"/>
        </w:rPr>
        <w:t>（三）选举和任免</w:t>
      </w:r>
    </w:p>
    <w:p>
      <w:pPr>
        <w:ind w:firstLine="560"/>
        <w:rPr>
          <w:rFonts w:hint="eastAsia" w:ascii="仿宋_GB2312" w:eastAsia="仿宋_GB2312"/>
          <w:sz w:val="32"/>
          <w:szCs w:val="32"/>
        </w:rPr>
      </w:pPr>
      <w:r>
        <w:rPr>
          <w:rFonts w:hint="eastAsia" w:ascii="仿宋_GB2312" w:eastAsia="仿宋_GB2312"/>
          <w:sz w:val="32"/>
          <w:szCs w:val="32"/>
        </w:rPr>
        <w:t>1、根据一府两院的工作需要和区委的建议，在充分酝酿和审议的基础上，选举产生一府两院的领导成员，确保选出能力突出、责任心强的同志担任一府两院的领导同志。2、为确保有关选举的法律法规符合实际，在充分考察调研的基础上，实施对其进行修改。3、对区政府组成人员和区人民法院、区人民检察院主要负责人进行目标责任监督，确保依法履行职责，完成目标任务。</w:t>
      </w:r>
    </w:p>
    <w:p>
      <w:pPr>
        <w:ind w:firstLine="560"/>
        <w:rPr>
          <w:rFonts w:hint="eastAsia" w:ascii="仿宋_GB2312" w:eastAsia="仿宋_GB2312"/>
          <w:sz w:val="32"/>
          <w:szCs w:val="32"/>
        </w:rPr>
      </w:pPr>
      <w:r>
        <w:rPr>
          <w:rFonts w:hint="eastAsia" w:ascii="仿宋_GB2312" w:eastAsia="仿宋_GB2312"/>
          <w:sz w:val="32"/>
          <w:szCs w:val="32"/>
        </w:rPr>
        <w:t>（四）人大事务管理。</w:t>
      </w:r>
    </w:p>
    <w:p>
      <w:pPr>
        <w:autoSpaceDE w:val="0"/>
        <w:autoSpaceDN w:val="0"/>
        <w:adjustRightInd w:val="0"/>
        <w:spacing w:line="360" w:lineRule="auto"/>
        <w:ind w:right="198" w:firstLine="640" w:firstLineChars="200"/>
        <w:rPr>
          <w:rFonts w:hint="eastAsia" w:ascii="仿宋_GB2312" w:hAnsi="宋体" w:eastAsia="仿宋_GB2312"/>
          <w:color w:val="000000"/>
          <w:sz w:val="32"/>
          <w:szCs w:val="32"/>
        </w:rPr>
      </w:pPr>
      <w:r>
        <w:rPr>
          <w:rFonts w:hint="eastAsia" w:ascii="仿宋_GB2312" w:eastAsia="仿宋_GB2312"/>
          <w:sz w:val="32"/>
          <w:szCs w:val="32"/>
        </w:rPr>
        <w:t>确保新闻宣传工作正常开展，信息系统运行正常，会议表决系统运转良好，机关基础设施运转良好，人大公报等正常出版，信访工作平稳。</w:t>
      </w:r>
    </w:p>
    <w:p>
      <w:pPr>
        <w:autoSpaceDE w:val="0"/>
        <w:autoSpaceDN w:val="0"/>
        <w:adjustRightInd w:val="0"/>
        <w:ind w:left="198" w:firstLine="640" w:firstLineChars="200"/>
        <w:jc w:val="left"/>
        <w:rPr>
          <w:rFonts w:hint="eastAsia"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tbl>
      <w:tblPr>
        <w:tblStyle w:val="8"/>
        <w:tblpPr w:leftFromText="180" w:rightFromText="180" w:vertAnchor="text" w:horzAnchor="page" w:tblpXSpec="center" w:tblpY="250"/>
        <w:tblOverlap w:val="never"/>
        <w:tblW w:w="8511" w:type="dxa"/>
        <w:jc w:val="center"/>
        <w:tblInd w:w="-10" w:type="dxa"/>
        <w:tblLayout w:type="fixed"/>
        <w:tblCellMar>
          <w:top w:w="0" w:type="dxa"/>
          <w:left w:w="0" w:type="dxa"/>
          <w:bottom w:w="0" w:type="dxa"/>
          <w:right w:w="0" w:type="dxa"/>
        </w:tblCellMar>
      </w:tblPr>
      <w:tblGrid>
        <w:gridCol w:w="3430"/>
        <w:gridCol w:w="1050"/>
        <w:gridCol w:w="1275"/>
        <w:gridCol w:w="2756"/>
      </w:tblGrid>
      <w:tr>
        <w:tblPrEx>
          <w:tblLayout w:type="fixed"/>
          <w:tblCellMar>
            <w:top w:w="0" w:type="dxa"/>
            <w:left w:w="0" w:type="dxa"/>
            <w:bottom w:w="0" w:type="dxa"/>
            <w:right w:w="0" w:type="dxa"/>
          </w:tblCellMar>
        </w:tblPrEx>
        <w:trPr>
          <w:trHeight w:val="473" w:hRule="atLeast"/>
          <w:jc w:val="center"/>
        </w:trPr>
        <w:tc>
          <w:tcPr>
            <w:tcW w:w="3430" w:type="dxa"/>
            <w:tcBorders>
              <w:top w:val="single" w:color="auto" w:sz="8" w:space="0"/>
              <w:left w:val="single" w:color="auto" w:sz="8" w:space="0"/>
              <w:right w:val="single" w:color="auto" w:sz="8" w:space="0"/>
            </w:tcBorders>
            <w:noWrap w:val="0"/>
            <w:vAlign w:val="bottom"/>
          </w:tcPr>
          <w:p>
            <w:pPr>
              <w:spacing w:line="360" w:lineRule="auto"/>
              <w:ind w:left="1800"/>
              <w:rPr>
                <w:rFonts w:ascii="宋体" w:hAnsi="宋体"/>
                <w:b/>
              </w:rPr>
            </w:pPr>
            <w:r>
              <w:rPr>
                <w:rFonts w:ascii="宋体" w:hAnsi="宋体"/>
                <w:b/>
              </w:rPr>
              <w:t>单位名称</w:t>
            </w:r>
          </w:p>
        </w:tc>
        <w:tc>
          <w:tcPr>
            <w:tcW w:w="1050" w:type="dxa"/>
            <w:tcBorders>
              <w:top w:val="single" w:color="auto" w:sz="8" w:space="0"/>
              <w:right w:val="single" w:color="auto" w:sz="8" w:space="0"/>
            </w:tcBorders>
            <w:noWrap w:val="0"/>
            <w:vAlign w:val="bottom"/>
          </w:tcPr>
          <w:p>
            <w:pPr>
              <w:spacing w:line="360" w:lineRule="auto"/>
              <w:ind w:left="120"/>
              <w:rPr>
                <w:rFonts w:ascii="宋体" w:hAnsi="宋体"/>
                <w:b/>
              </w:rPr>
            </w:pPr>
            <w:r>
              <w:rPr>
                <w:rFonts w:ascii="宋体" w:hAnsi="宋体"/>
                <w:b/>
              </w:rPr>
              <w:t>单位性质</w:t>
            </w:r>
          </w:p>
        </w:tc>
        <w:tc>
          <w:tcPr>
            <w:tcW w:w="1275" w:type="dxa"/>
            <w:tcBorders>
              <w:top w:val="single" w:color="auto" w:sz="8" w:space="0"/>
              <w:right w:val="single" w:color="auto" w:sz="8" w:space="0"/>
            </w:tcBorders>
            <w:noWrap w:val="0"/>
            <w:vAlign w:val="bottom"/>
          </w:tcPr>
          <w:p>
            <w:pPr>
              <w:spacing w:line="360" w:lineRule="auto"/>
              <w:ind w:left="200"/>
              <w:rPr>
                <w:rFonts w:ascii="宋体" w:hAnsi="宋体"/>
                <w:b/>
              </w:rPr>
            </w:pPr>
            <w:r>
              <w:rPr>
                <w:rFonts w:ascii="宋体" w:hAnsi="宋体"/>
                <w:b/>
              </w:rPr>
              <w:t>单位规格</w:t>
            </w:r>
          </w:p>
        </w:tc>
        <w:tc>
          <w:tcPr>
            <w:tcW w:w="2756" w:type="dxa"/>
            <w:tcBorders>
              <w:top w:val="single" w:color="auto" w:sz="8" w:space="0"/>
              <w:right w:val="single" w:color="auto" w:sz="8" w:space="0"/>
            </w:tcBorders>
            <w:noWrap w:val="0"/>
            <w:vAlign w:val="bottom"/>
          </w:tcPr>
          <w:p>
            <w:pPr>
              <w:spacing w:line="360" w:lineRule="auto"/>
              <w:ind w:left="820"/>
              <w:rPr>
                <w:rFonts w:ascii="宋体" w:hAnsi="宋体"/>
                <w:b/>
              </w:rPr>
            </w:pPr>
            <w:r>
              <w:rPr>
                <w:rFonts w:ascii="宋体" w:hAnsi="宋体"/>
                <w:b/>
              </w:rPr>
              <w:t>经费保障形式</w:t>
            </w:r>
          </w:p>
        </w:tc>
      </w:tr>
      <w:tr>
        <w:tblPrEx>
          <w:tblLayout w:type="fixed"/>
          <w:tblCellMar>
            <w:top w:w="0" w:type="dxa"/>
            <w:left w:w="0" w:type="dxa"/>
            <w:bottom w:w="0" w:type="dxa"/>
            <w:right w:w="0" w:type="dxa"/>
          </w:tblCellMar>
        </w:tblPrEx>
        <w:trPr>
          <w:trHeight w:val="297" w:hRule="atLeast"/>
          <w:jc w:val="center"/>
        </w:trPr>
        <w:tc>
          <w:tcPr>
            <w:tcW w:w="3430" w:type="dxa"/>
            <w:tcBorders>
              <w:left w:val="single" w:color="auto" w:sz="8" w:space="0"/>
              <w:bottom w:val="single" w:color="auto" w:sz="8" w:space="0"/>
              <w:right w:val="single" w:color="auto" w:sz="8" w:space="0"/>
            </w:tcBorders>
            <w:noWrap w:val="0"/>
            <w:vAlign w:val="bottom"/>
          </w:tcPr>
          <w:p>
            <w:pPr>
              <w:spacing w:line="360" w:lineRule="auto"/>
              <w:rPr>
                <w:rFonts w:ascii="宋体" w:hAnsi="宋体"/>
              </w:rPr>
            </w:pPr>
            <w:r>
              <w:rPr>
                <w:rFonts w:hint="eastAsia" w:ascii="宋体" w:hAnsi="宋体" w:cs="宋体"/>
                <w:kern w:val="0"/>
                <w:sz w:val="18"/>
                <w:szCs w:val="18"/>
              </w:rPr>
              <w:t>石家庄市鹿泉区人民代表大会常务委员会</w:t>
            </w:r>
          </w:p>
        </w:tc>
        <w:tc>
          <w:tcPr>
            <w:tcW w:w="1050" w:type="dxa"/>
            <w:tcBorders>
              <w:bottom w:val="single" w:color="auto" w:sz="8" w:space="0"/>
              <w:right w:val="single" w:color="auto" w:sz="8" w:space="0"/>
            </w:tcBorders>
            <w:noWrap w:val="0"/>
            <w:vAlign w:val="bottom"/>
          </w:tcPr>
          <w:p>
            <w:pPr>
              <w:spacing w:line="360" w:lineRule="auto"/>
              <w:rPr>
                <w:rFonts w:hint="eastAsia" w:ascii="仿宋_GB2312" w:hAnsi="仿宋_GB2312" w:eastAsia="仿宋_GB2312" w:cs="仿宋_GB2312"/>
              </w:rPr>
            </w:pPr>
            <w:r>
              <w:rPr>
                <w:rFonts w:hint="eastAsia" w:ascii="仿宋_GB2312" w:hAnsi="仿宋_GB2312" w:eastAsia="仿宋_GB2312" w:cs="仿宋_GB2312"/>
              </w:rPr>
              <w:t>机关</w:t>
            </w:r>
          </w:p>
        </w:tc>
        <w:tc>
          <w:tcPr>
            <w:tcW w:w="1275" w:type="dxa"/>
            <w:tcBorders>
              <w:bottom w:val="single" w:color="auto" w:sz="8" w:space="0"/>
              <w:right w:val="single" w:color="auto" w:sz="8" w:space="0"/>
            </w:tcBorders>
            <w:noWrap w:val="0"/>
            <w:vAlign w:val="bottom"/>
          </w:tcPr>
          <w:p>
            <w:pPr>
              <w:spacing w:line="360" w:lineRule="auto"/>
              <w:ind w:left="80"/>
              <w:rPr>
                <w:rFonts w:hint="eastAsia" w:ascii="仿宋_GB2312" w:hAnsi="仿宋_GB2312" w:eastAsia="仿宋_GB2312" w:cs="仿宋_GB2312"/>
              </w:rPr>
            </w:pPr>
            <w:r>
              <w:rPr>
                <w:rFonts w:hint="eastAsia" w:ascii="仿宋_GB2312" w:hAnsi="仿宋_GB2312" w:eastAsia="仿宋_GB2312" w:cs="仿宋_GB2312"/>
              </w:rPr>
              <w:t>正处级</w:t>
            </w:r>
          </w:p>
        </w:tc>
        <w:tc>
          <w:tcPr>
            <w:tcW w:w="2756" w:type="dxa"/>
            <w:tcBorders>
              <w:bottom w:val="single" w:color="auto" w:sz="8" w:space="0"/>
              <w:right w:val="single" w:color="auto" w:sz="8" w:space="0"/>
            </w:tcBorders>
            <w:noWrap w:val="0"/>
            <w:vAlign w:val="bottom"/>
          </w:tcPr>
          <w:p>
            <w:pPr>
              <w:spacing w:line="360" w:lineRule="auto"/>
              <w:ind w:left="100"/>
              <w:rPr>
                <w:rFonts w:hint="eastAsia" w:ascii="仿宋_GB2312" w:hAnsi="仿宋_GB2312" w:eastAsia="仿宋_GB2312" w:cs="仿宋_GB2312"/>
              </w:rPr>
            </w:pPr>
            <w:r>
              <w:rPr>
                <w:rFonts w:hint="eastAsia" w:ascii="仿宋_GB2312" w:hAnsi="仿宋_GB2312" w:eastAsia="仿宋_GB2312" w:cs="仿宋_GB2312"/>
              </w:rPr>
              <w:t>财政拨款</w:t>
            </w:r>
          </w:p>
        </w:tc>
      </w:tr>
    </w:tbl>
    <w:p>
      <w:pPr>
        <w:ind w:firstLine="640" w:firstLineChars="200"/>
        <w:rPr>
          <w:rFonts w:hint="eastAsia" w:ascii="仿宋_GB2312" w:hAnsi="宋体" w:eastAsia="仿宋_GB2312"/>
          <w:kern w:val="0"/>
          <w:sz w:val="32"/>
          <w:szCs w:val="32"/>
        </w:rPr>
      </w:pPr>
    </w:p>
    <w:p>
      <w:pPr>
        <w:ind w:firstLine="560"/>
        <w:rPr>
          <w:rFonts w:hint="eastAsia" w:ascii="方正仿宋_GBK"/>
          <w:sz w:val="28"/>
        </w:rPr>
      </w:pPr>
    </w:p>
    <w:p>
      <w:pPr>
        <w:ind w:firstLine="560"/>
        <w:rPr>
          <w:rFonts w:hint="eastAsia" w:ascii="方正仿宋_GBK"/>
          <w:sz w:val="28"/>
        </w:rPr>
      </w:pPr>
    </w:p>
    <w:p>
      <w:pPr>
        <w:ind w:firstLine="560"/>
        <w:rPr>
          <w:rFonts w:hint="eastAsia" w:ascii="仿宋_GB2312" w:eastAsia="仿宋_GB2312"/>
          <w:sz w:val="32"/>
          <w:szCs w:val="32"/>
        </w:rPr>
      </w:pPr>
      <w:r>
        <w:rPr>
          <w:rFonts w:hint="eastAsia" w:ascii="仿宋_GB2312" w:eastAsia="仿宋_GB2312"/>
          <w:sz w:val="32"/>
          <w:szCs w:val="32"/>
        </w:rPr>
        <w:t>区人大常委会机关设科级综合办事机构及工作委员会5个，即：办公室、代表联络选举任免工作委员会、政治法律工作委员会、财政经济工作委员会、教育科学文化卫生工作委员会。信访办公室、老干部办公室设在人大办公室内。</w:t>
      </w:r>
    </w:p>
    <w:p>
      <w:pPr>
        <w:ind w:firstLine="640" w:firstLineChars="200"/>
        <w:rPr>
          <w:rFonts w:hint="eastAsia" w:ascii="仿宋_GB2312" w:eastAsia="仿宋_GB2312"/>
          <w:sz w:val="32"/>
          <w:szCs w:val="32"/>
        </w:rPr>
      </w:pPr>
      <w:r>
        <w:rPr>
          <w:rFonts w:hint="eastAsia" w:ascii="仿宋_GB2312" w:eastAsia="仿宋_GB2312"/>
          <w:sz w:val="32"/>
          <w:szCs w:val="32"/>
        </w:rPr>
        <w:t>办公室：掌握人大常委会的全部情况，搞好信息反馈，上呈下达。信访办公室设在人大办公室内，接待群众来信来访，按照登记、批阅、转办或交办督办的程序，办理所受理的信访事项。老干部办公室设在人大办公室内，做好人大机关老干部信息统计工作，熟悉掌握老干部基本情况。</w:t>
      </w:r>
    </w:p>
    <w:p>
      <w:pPr>
        <w:ind w:firstLine="640" w:firstLineChars="200"/>
        <w:rPr>
          <w:rFonts w:hint="eastAsia" w:ascii="仿宋_GB2312" w:eastAsia="仿宋_GB2312"/>
          <w:sz w:val="32"/>
          <w:szCs w:val="32"/>
        </w:rPr>
      </w:pPr>
      <w:r>
        <w:rPr>
          <w:rFonts w:hint="eastAsia" w:ascii="仿宋_GB2312" w:eastAsia="仿宋_GB2312"/>
          <w:sz w:val="32"/>
          <w:szCs w:val="32"/>
        </w:rPr>
        <w:t>代表联络选举任免工作委员会：负责接受、审理、传递、催办转达有关人民代表提出的议案、建议、批评和意见；</w:t>
      </w:r>
    </w:p>
    <w:p>
      <w:pPr>
        <w:ind w:firstLine="640" w:firstLineChars="200"/>
        <w:rPr>
          <w:rFonts w:hint="eastAsia" w:ascii="仿宋_GB2312" w:eastAsia="仿宋_GB2312"/>
          <w:sz w:val="32"/>
          <w:szCs w:val="32"/>
        </w:rPr>
      </w:pPr>
      <w:r>
        <w:rPr>
          <w:rFonts w:hint="eastAsia" w:ascii="仿宋_GB2312" w:eastAsia="仿宋_GB2312"/>
          <w:sz w:val="32"/>
          <w:szCs w:val="32"/>
        </w:rPr>
        <w:t>政治法律工作委员会：负责调查了解“一府两院”贯彻执行《宪法》、法律法规和人大及常委会决议、决定的情况，发现“一府两院”发布的行政命令和乡镇人代会决议与宪法、法律法规相抵触的问题向人大常委会提出报告或议案的建议。</w:t>
      </w:r>
    </w:p>
    <w:p>
      <w:pPr>
        <w:ind w:firstLine="640" w:firstLineChars="200"/>
        <w:rPr>
          <w:rFonts w:hint="eastAsia" w:ascii="仿宋_GB2312" w:eastAsia="仿宋_GB2312"/>
          <w:sz w:val="32"/>
          <w:szCs w:val="32"/>
        </w:rPr>
      </w:pPr>
      <w:r>
        <w:rPr>
          <w:rFonts w:hint="eastAsia" w:ascii="仿宋_GB2312" w:eastAsia="仿宋_GB2312"/>
          <w:sz w:val="32"/>
          <w:szCs w:val="32"/>
        </w:rPr>
        <w:t>财政经济工作委员会：负责了解和掌握人民政府贯彻执行有关农业、工业、财经、贸易等方面的法律、法令、法规和人大及其常委会决议、决定情况，对财政经济方面的议案进行调查研究，提出意见，为人大常委会审议提供依据。</w:t>
      </w:r>
    </w:p>
    <w:p>
      <w:pPr>
        <w:ind w:firstLine="640" w:firstLineChars="200"/>
        <w:rPr>
          <w:rFonts w:hint="eastAsia" w:ascii="仿宋_GB2312" w:eastAsia="仿宋_GB2312"/>
          <w:sz w:val="32"/>
          <w:szCs w:val="32"/>
        </w:rPr>
      </w:pPr>
      <w:r>
        <w:rPr>
          <w:rFonts w:hint="eastAsia" w:ascii="仿宋_GB2312" w:eastAsia="仿宋_GB2312"/>
          <w:sz w:val="32"/>
          <w:szCs w:val="32"/>
        </w:rPr>
        <w:t>教育科学文化卫生工作委员会：负责调查了解与教育、科学、文化、卫生、体育、计划生育等有关的法律、法令、法规的贯彻执行情况。</w:t>
      </w:r>
    </w:p>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按照预算管理有关规定，目前我省部门预算的编制实行综合预算管理，即全部收入和支出都反映在预算中。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反映本部门当年全部收入。2019年预算收入</w:t>
      </w:r>
      <w:r>
        <w:rPr>
          <w:rFonts w:hint="eastAsia" w:ascii="仿宋" w:hAnsi="仿宋" w:eastAsia="仿宋" w:cs="仿宋"/>
          <w:sz w:val="32"/>
          <w:szCs w:val="32"/>
          <w:lang w:val="en-US" w:eastAsia="zh-CN"/>
        </w:rPr>
        <w:t>698.98</w:t>
      </w:r>
      <w:r>
        <w:rPr>
          <w:rFonts w:hint="eastAsia" w:ascii="仿宋" w:hAnsi="仿宋" w:eastAsia="仿宋" w:cs="仿宋"/>
          <w:sz w:val="32"/>
          <w:szCs w:val="32"/>
        </w:rPr>
        <w:t>万元，其中：一般公共预算收入</w:t>
      </w:r>
      <w:r>
        <w:rPr>
          <w:rFonts w:hint="eastAsia" w:ascii="仿宋" w:hAnsi="仿宋" w:eastAsia="仿宋" w:cs="仿宋"/>
          <w:sz w:val="32"/>
          <w:szCs w:val="32"/>
          <w:lang w:val="en-US" w:eastAsia="zh-CN"/>
        </w:rPr>
        <w:t>698.98</w:t>
      </w:r>
      <w:r>
        <w:rPr>
          <w:rFonts w:hint="eastAsia" w:ascii="仿宋" w:hAnsi="仿宋" w:eastAsia="仿宋" w:cs="仿宋"/>
          <w:sz w:val="32"/>
          <w:szCs w:val="32"/>
        </w:rPr>
        <w:t>万元，基金预算收入0万元，财政专户核拨收入0万元，其他来源收入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收支预算总表支出栏、基本支出表、项目支出表按经济分类和支出功能分类科目编制，反映</w:t>
      </w:r>
      <w:r>
        <w:rPr>
          <w:rFonts w:hint="eastAsia" w:ascii="仿宋" w:hAnsi="仿宋" w:eastAsia="仿宋" w:cs="仿宋"/>
          <w:sz w:val="32"/>
          <w:szCs w:val="32"/>
          <w:lang w:eastAsia="zh-CN"/>
        </w:rPr>
        <w:t>石家庄市鹿泉区人民代表大会常务委员会</w:t>
      </w:r>
      <w:r>
        <w:rPr>
          <w:rFonts w:hint="eastAsia" w:ascii="仿宋" w:hAnsi="仿宋" w:eastAsia="仿宋" w:cs="仿宋"/>
          <w:sz w:val="32"/>
          <w:szCs w:val="32"/>
        </w:rPr>
        <w:t>年度部门预算中支出预算的总体情况。2019年支出预算</w:t>
      </w:r>
      <w:r>
        <w:rPr>
          <w:rFonts w:hint="eastAsia" w:ascii="仿宋" w:hAnsi="仿宋" w:eastAsia="仿宋" w:cs="仿宋"/>
          <w:sz w:val="32"/>
          <w:szCs w:val="32"/>
          <w:lang w:val="en-US" w:eastAsia="zh-CN"/>
        </w:rPr>
        <w:t>698.98</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455.48</w:t>
      </w:r>
      <w:r>
        <w:rPr>
          <w:rFonts w:hint="eastAsia" w:ascii="仿宋" w:hAnsi="仿宋" w:eastAsia="仿宋" w:cs="仿宋"/>
          <w:sz w:val="32"/>
          <w:szCs w:val="32"/>
        </w:rPr>
        <w:t>万元，包括人员经费</w:t>
      </w:r>
      <w:r>
        <w:rPr>
          <w:rFonts w:hint="eastAsia" w:ascii="仿宋" w:hAnsi="仿宋" w:eastAsia="仿宋" w:cs="仿宋"/>
          <w:sz w:val="32"/>
          <w:szCs w:val="32"/>
          <w:lang w:val="en-US" w:eastAsia="zh-CN"/>
        </w:rPr>
        <w:t>398.89</w:t>
      </w:r>
      <w:r>
        <w:rPr>
          <w:rFonts w:hint="eastAsia" w:ascii="仿宋" w:hAnsi="仿宋" w:eastAsia="仿宋" w:cs="仿宋"/>
          <w:sz w:val="32"/>
          <w:szCs w:val="32"/>
        </w:rPr>
        <w:t>万元和日常公用经费</w:t>
      </w:r>
      <w:r>
        <w:rPr>
          <w:rFonts w:hint="eastAsia" w:ascii="仿宋" w:hAnsi="仿宋" w:eastAsia="仿宋" w:cs="仿宋"/>
          <w:sz w:val="32"/>
          <w:szCs w:val="32"/>
          <w:lang w:val="en-US" w:eastAsia="zh-CN"/>
        </w:rPr>
        <w:t>56.59</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243.5</w:t>
      </w:r>
      <w:r>
        <w:rPr>
          <w:rFonts w:hint="eastAsia" w:ascii="仿宋" w:hAnsi="仿宋" w:eastAsia="仿宋" w:cs="仿宋"/>
          <w:sz w:val="32"/>
          <w:szCs w:val="32"/>
        </w:rPr>
        <w:t>万元，包括本级支出和对下补助支出，</w:t>
      </w:r>
      <w:r>
        <w:rPr>
          <w:rFonts w:hint="eastAsia" w:ascii="仿宋" w:hAnsi="仿宋" w:eastAsia="仿宋" w:cs="仿宋"/>
          <w:sz w:val="32"/>
          <w:szCs w:val="32"/>
          <w:lang w:eastAsia="zh-CN"/>
        </w:rPr>
        <w:t>主要为人大代表之家活动经费</w:t>
      </w:r>
      <w:r>
        <w:rPr>
          <w:rFonts w:hint="eastAsia" w:ascii="仿宋" w:hAnsi="仿宋" w:eastAsia="仿宋" w:cs="仿宋"/>
          <w:sz w:val="32"/>
          <w:szCs w:val="32"/>
          <w:lang w:val="en-US" w:eastAsia="zh-CN"/>
        </w:rPr>
        <w:t>39万元，人大代表之家建设费132万元，人大会议费30万元，人大代表经费22.5万元等。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2019年预算收支安排</w:t>
      </w:r>
      <w:r>
        <w:rPr>
          <w:rFonts w:hint="eastAsia" w:ascii="仿宋" w:hAnsi="仿宋" w:eastAsia="仿宋" w:cs="仿宋"/>
          <w:sz w:val="32"/>
          <w:szCs w:val="32"/>
          <w:lang w:val="en-US" w:eastAsia="zh-CN"/>
        </w:rPr>
        <w:t>698.98</w:t>
      </w:r>
      <w:r>
        <w:rPr>
          <w:rFonts w:hint="eastAsia" w:ascii="仿宋" w:hAnsi="仿宋" w:eastAsia="仿宋" w:cs="仿宋"/>
          <w:sz w:val="32"/>
          <w:szCs w:val="32"/>
        </w:rPr>
        <w:t>万元，较2018年预算</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157.05</w:t>
      </w:r>
      <w:r>
        <w:rPr>
          <w:rFonts w:hint="eastAsia" w:ascii="仿宋" w:hAnsi="仿宋" w:eastAsia="仿宋" w:cs="仿宋"/>
          <w:sz w:val="32"/>
          <w:szCs w:val="32"/>
        </w:rPr>
        <w:t>万元，其中：基本支出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36.05</w:t>
      </w:r>
      <w:r>
        <w:rPr>
          <w:rFonts w:hint="eastAsia" w:ascii="仿宋" w:hAnsi="仿宋" w:eastAsia="仿宋" w:cs="仿宋"/>
          <w:sz w:val="32"/>
          <w:szCs w:val="32"/>
        </w:rPr>
        <w:t>万元，主要为</w:t>
      </w:r>
      <w:r>
        <w:rPr>
          <w:rFonts w:hint="eastAsia" w:ascii="仿宋" w:hAnsi="仿宋" w:eastAsia="仿宋" w:cs="仿宋"/>
          <w:sz w:val="32"/>
          <w:szCs w:val="32"/>
          <w:lang w:eastAsia="zh-CN"/>
        </w:rPr>
        <w:t>增加</w:t>
      </w:r>
      <w:r>
        <w:rPr>
          <w:rFonts w:hint="eastAsia" w:ascii="仿宋" w:hAnsi="仿宋" w:eastAsia="仿宋" w:cs="仿宋"/>
          <w:sz w:val="32"/>
          <w:szCs w:val="32"/>
        </w:rPr>
        <w:t>人员经费支出；项目支出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121</w:t>
      </w:r>
      <w:r>
        <w:rPr>
          <w:rFonts w:hint="eastAsia" w:ascii="仿宋" w:hAnsi="仿宋" w:eastAsia="仿宋" w:cs="仿宋"/>
          <w:sz w:val="32"/>
          <w:szCs w:val="32"/>
        </w:rPr>
        <w:t>万元，主要为</w:t>
      </w:r>
      <w:r>
        <w:rPr>
          <w:rFonts w:hint="eastAsia" w:ascii="仿宋" w:hAnsi="仿宋" w:eastAsia="仿宋" w:cs="仿宋"/>
          <w:sz w:val="32"/>
          <w:szCs w:val="32"/>
          <w:lang w:eastAsia="zh-CN"/>
        </w:rPr>
        <w:t>人大代表之家活动费增加</w:t>
      </w:r>
      <w:r>
        <w:rPr>
          <w:rFonts w:hint="eastAsia" w:ascii="仿宋" w:hAnsi="仿宋" w:eastAsia="仿宋" w:cs="仿宋"/>
          <w:sz w:val="32"/>
          <w:szCs w:val="32"/>
          <w:lang w:val="en-US" w:eastAsia="zh-CN"/>
        </w:rPr>
        <w:t>39万元，人大代表之家建设费增加112万元。</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三、机关运行经费安排情况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w:t>
      </w:r>
      <w:r>
        <w:rPr>
          <w:rFonts w:hint="eastAsia" w:ascii="仿宋" w:hAnsi="仿宋" w:eastAsia="仿宋" w:cs="仿宋"/>
          <w:sz w:val="32"/>
          <w:szCs w:val="32"/>
          <w:lang w:eastAsia="zh-CN"/>
        </w:rPr>
        <w:t>部门</w:t>
      </w:r>
      <w:r>
        <w:rPr>
          <w:rFonts w:hint="eastAsia" w:ascii="仿宋" w:hAnsi="仿宋" w:eastAsia="仿宋" w:cs="仿宋"/>
          <w:sz w:val="32"/>
          <w:szCs w:val="32"/>
        </w:rPr>
        <w:t>机关运行经费共计安排</w:t>
      </w:r>
      <w:r>
        <w:rPr>
          <w:rFonts w:hint="eastAsia" w:ascii="仿宋" w:hAnsi="仿宋" w:eastAsia="仿宋" w:cs="仿宋"/>
          <w:sz w:val="32"/>
          <w:szCs w:val="32"/>
          <w:lang w:val="en-US" w:eastAsia="zh-CN"/>
        </w:rPr>
        <w:t>56.59</w:t>
      </w:r>
      <w:r>
        <w:rPr>
          <w:rFonts w:hint="eastAsia" w:ascii="仿宋" w:hAnsi="仿宋" w:eastAsia="仿宋" w:cs="仿宋"/>
          <w:sz w:val="32"/>
          <w:szCs w:val="32"/>
        </w:rPr>
        <w:t>万元，主要用于</w:t>
      </w:r>
      <w:r>
        <w:rPr>
          <w:rFonts w:hint="eastAsia" w:ascii="仿宋" w:hAnsi="仿宋" w:eastAsia="仿宋" w:cs="仿宋"/>
          <w:sz w:val="32"/>
          <w:szCs w:val="32"/>
          <w:lang w:eastAsia="zh-CN"/>
        </w:rPr>
        <w:t>办公费、</w:t>
      </w:r>
      <w:r>
        <w:rPr>
          <w:rFonts w:hint="eastAsia" w:ascii="仿宋" w:hAnsi="仿宋" w:eastAsia="仿宋" w:cs="仿宋"/>
          <w:sz w:val="32"/>
          <w:szCs w:val="32"/>
        </w:rPr>
        <w:t>水电费、管理费等日常运行支出。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2019年，我</w:t>
      </w:r>
      <w:r>
        <w:rPr>
          <w:rFonts w:hint="eastAsia" w:ascii="仿宋" w:hAnsi="仿宋" w:eastAsia="仿宋" w:cs="仿宋"/>
          <w:sz w:val="32"/>
          <w:szCs w:val="32"/>
          <w:lang w:eastAsia="zh-CN"/>
        </w:rPr>
        <w:t>部门</w:t>
      </w:r>
      <w:r>
        <w:rPr>
          <w:rFonts w:hint="eastAsia" w:ascii="仿宋" w:hAnsi="仿宋" w:eastAsia="仿宋" w:cs="仿宋"/>
          <w:sz w:val="32"/>
          <w:szCs w:val="32"/>
        </w:rPr>
        <w:t>财政拨款“三公”经费预算安排</w:t>
      </w:r>
      <w:r>
        <w:rPr>
          <w:rFonts w:hint="eastAsia" w:ascii="仿宋" w:hAnsi="仿宋" w:eastAsia="仿宋" w:cs="仿宋"/>
          <w:sz w:val="32"/>
          <w:szCs w:val="32"/>
          <w:lang w:val="en-US" w:eastAsia="zh-CN"/>
        </w:rPr>
        <w:t>18.5</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万元；公务用车购置及运维费</w:t>
      </w:r>
      <w:r>
        <w:rPr>
          <w:rFonts w:hint="eastAsia" w:ascii="仿宋" w:hAnsi="仿宋" w:eastAsia="仿宋" w:cs="仿宋"/>
          <w:sz w:val="32"/>
          <w:szCs w:val="32"/>
          <w:lang w:val="en-US" w:eastAsia="zh-CN"/>
        </w:rPr>
        <w:t>13.5</w:t>
      </w:r>
      <w:r>
        <w:rPr>
          <w:rFonts w:hint="eastAsia" w:ascii="仿宋" w:hAnsi="仿宋" w:eastAsia="仿宋" w:cs="仿宋"/>
          <w:sz w:val="32"/>
          <w:szCs w:val="32"/>
        </w:rPr>
        <w:t>万元（其中：公务用车购置费为0万元，公务用车运维费</w:t>
      </w:r>
      <w:r>
        <w:rPr>
          <w:rFonts w:hint="eastAsia" w:ascii="仿宋" w:hAnsi="仿宋" w:eastAsia="仿宋" w:cs="仿宋"/>
          <w:sz w:val="32"/>
          <w:szCs w:val="32"/>
          <w:lang w:val="en-US" w:eastAsia="zh-CN"/>
        </w:rPr>
        <w:t>13.5</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5</w:t>
      </w:r>
      <w:r>
        <w:rPr>
          <w:rFonts w:hint="eastAsia" w:ascii="仿宋" w:hAnsi="仿宋" w:eastAsia="仿宋" w:cs="仿宋"/>
          <w:sz w:val="32"/>
          <w:szCs w:val="32"/>
        </w:rPr>
        <w:t>万元。与2018年相比</w:t>
      </w:r>
      <w:r>
        <w:rPr>
          <w:rFonts w:hint="eastAsia" w:ascii="仿宋" w:hAnsi="仿宋" w:eastAsia="仿宋" w:cs="仿宋"/>
          <w:sz w:val="32"/>
          <w:szCs w:val="32"/>
          <w:lang w:eastAsia="zh-CN"/>
        </w:rPr>
        <w:t>无增减变化。</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spacing w:line="500" w:lineRule="exact"/>
        <w:ind w:firstLine="560"/>
        <w:rPr>
          <w:rFonts w:ascii="方正仿宋_GBK" w:eastAsia="方正仿宋_GBK"/>
          <w:sz w:val="28"/>
        </w:rPr>
      </w:pPr>
      <w:r>
        <w:rPr>
          <w:rFonts w:ascii="方正仿宋_GBK" w:eastAsia="方正仿宋_GBK"/>
          <w:sz w:val="28"/>
        </w:rPr>
        <w:t>一、指导思想</w:t>
      </w:r>
    </w:p>
    <w:p>
      <w:pPr>
        <w:spacing w:line="500" w:lineRule="exact"/>
        <w:ind w:firstLine="560"/>
        <w:rPr>
          <w:rFonts w:ascii="方正仿宋_GBK" w:eastAsia="方正仿宋_GBK"/>
          <w:sz w:val="28"/>
        </w:rPr>
      </w:pPr>
      <w:r>
        <w:rPr>
          <w:rFonts w:ascii="方正仿宋_GBK" w:eastAsia="方正仿宋_GBK"/>
          <w:sz w:val="28"/>
        </w:rPr>
        <w:t>2019年是新中国成立70周年，是全面建成小康社会的关键之年，也是奋力谱写经济强区、大美新城、幸福鹿泉新篇章的重要一年，需要我们全面做好2019年人大各项工作。总体思路是，在区委的坚强领导下，以习近平新时代中国特色社会主义思想为指导，全面贯彻党的十九大和十九届二中、三中全会精神，用习近平总书记关于坚持和完善人民代表大会制度的重要思想统领人大工作，深入贯彻落实中央和省市区委重大决策部署，围绕区二届三次党代会确定的目标任务，不断创新监督方式，持续加大监督力度，充分发挥全区各级人大代表在全面推动鹿泉创新发展、绿色发展、高质量发展中的作用，全力推进依法治区和民主法治进程，为奋力谱写经济强区、大美新城、幸福鹿泉新篇章做出新的更大的贡献，以优异成绩庆祝新中国成立70周年。</w:t>
      </w:r>
    </w:p>
    <w:p>
      <w:pPr>
        <w:spacing w:line="500" w:lineRule="exact"/>
        <w:ind w:firstLine="560"/>
        <w:rPr>
          <w:rFonts w:ascii="方正仿宋_GBK" w:eastAsia="方正仿宋_GBK"/>
          <w:sz w:val="28"/>
        </w:rPr>
      </w:pPr>
      <w:r>
        <w:rPr>
          <w:rFonts w:ascii="方正仿宋_GBK" w:eastAsia="方正仿宋_GBK"/>
          <w:sz w:val="28"/>
        </w:rPr>
        <w:t>二、规划目标</w:t>
      </w:r>
    </w:p>
    <w:p>
      <w:pPr>
        <w:spacing w:line="500" w:lineRule="exact"/>
        <w:ind w:firstLine="560"/>
        <w:rPr>
          <w:rFonts w:ascii="方正仿宋_GBK" w:eastAsia="方正仿宋_GBK"/>
          <w:sz w:val="28"/>
        </w:rPr>
      </w:pPr>
      <w:r>
        <w:rPr>
          <w:rFonts w:ascii="方正仿宋_GBK" w:eastAsia="方正仿宋_GBK"/>
          <w:sz w:val="28"/>
        </w:rPr>
        <w:t>（一）加强思想政治建设。要坚持把思想政治建设摆在首位，深入学习贯彻习近平总书记关于坚持和完善人民代表大会制度的重要思想，认真学习贯彻中央庆祝改革开放40周年大会精神，不断解放思想、更新观念，与时俱进推进人大工作创新发展。要坚持围绕中心、服务大局，更加自觉地将人大工作置于贯彻落实党中央和省市区委的重大决策部署中去，坚决做到党委有号召、人大有行动。</w:t>
      </w:r>
    </w:p>
    <w:p>
      <w:pPr>
        <w:spacing w:line="500" w:lineRule="exact"/>
        <w:ind w:firstLine="560"/>
        <w:rPr>
          <w:rFonts w:ascii="方正仿宋_GBK" w:eastAsia="方正仿宋_GBK"/>
          <w:sz w:val="28"/>
        </w:rPr>
      </w:pPr>
      <w:r>
        <w:rPr>
          <w:rFonts w:ascii="方正仿宋_GBK" w:eastAsia="方正仿宋_GBK"/>
          <w:sz w:val="28"/>
        </w:rPr>
        <w:t>（二）加强依法监督效能建设。深入贯彻落实习近平关于全面依法治国新理念新思想新战略，坚持依法治区，加强法治鹿泉建设，围绕区委提出的“三大攻坚”“三件硬事”“十项重点工程”，国民经济计划、财政预算决算、环境保护、涉法涉诉等涉及经济社会发展重大事项和民生、社会热点问题，加大监督工作力度，切实提高监督工作实效，认真行使重大事项决定权、人事任免权，全面推进依法执政、依法行政、公正司法、全民守法。</w:t>
      </w:r>
    </w:p>
    <w:p>
      <w:pPr>
        <w:spacing w:line="500" w:lineRule="exact"/>
        <w:ind w:firstLine="560"/>
        <w:rPr>
          <w:rFonts w:ascii="方正仿宋_GBK" w:eastAsia="方正仿宋_GBK"/>
          <w:sz w:val="28"/>
        </w:rPr>
      </w:pPr>
      <w:r>
        <w:rPr>
          <w:rFonts w:ascii="方正仿宋_GBK" w:eastAsia="方正仿宋_GBK"/>
          <w:sz w:val="28"/>
        </w:rPr>
        <w:t>（三）加强代表履职能力建设。持续提升“人大代表之家（站）”建设水平，不断丰富代表活动载体，为全区各项事业献良计、出良策。大力推进代表管理工作的制度化、规范化建设，切实提高代表履职管理水平。进一步密切人大代表与人民群众的联系，组织好闭会期间的代表活动，充分发挥代表深入了解民情、充分反映民意、广泛集中民智的桥梁纽带作用。 </w:t>
      </w:r>
    </w:p>
    <w:p>
      <w:pPr>
        <w:spacing w:line="500" w:lineRule="exact"/>
        <w:ind w:firstLine="560"/>
        <w:rPr>
          <w:rFonts w:hint="eastAsia" w:ascii="仿宋" w:hAnsi="仿宋" w:eastAsia="仿宋" w:cs="仿宋"/>
          <w:sz w:val="32"/>
          <w:szCs w:val="32"/>
        </w:rPr>
      </w:pPr>
      <w:r>
        <w:rPr>
          <w:rFonts w:ascii="方正仿宋_GBK" w:eastAsia="方正仿宋_GBK"/>
          <w:sz w:val="28"/>
        </w:rPr>
        <w:t>（四）加强常委会及机关自身建设。组织开展多种形式的学习培训，不断提高常委会组成人员和人大机关工作人员政治理论水平和履职业务能力。充分发挥区人大各专门委员会和各工作部门的职能作用，更好地支持“一府一委两院”工作，促进全区经济社会事业健康发展。深入开展调查研究和宣传工作，加强人大工作理论和实践创新。积极开展“基层建设年”活动，切实提升全区人大工作整体水平。</w:t>
      </w:r>
    </w:p>
    <w:p>
      <w:pPr>
        <w:ind w:firstLine="640" w:firstLineChars="200"/>
        <w:jc w:val="left"/>
        <w:rPr>
          <w:rFonts w:hint="eastAsia"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spacing w:line="500" w:lineRule="exact"/>
        <w:ind w:firstLine="560"/>
        <w:rPr>
          <w:rFonts w:ascii="方正仿宋_GBK" w:eastAsia="方正仿宋_GBK"/>
          <w:sz w:val="28"/>
        </w:rPr>
      </w:pPr>
      <w:r>
        <w:rPr>
          <w:rFonts w:ascii="方正仿宋_GBK" w:eastAsia="方正仿宋_GBK"/>
          <w:sz w:val="28"/>
        </w:rPr>
        <w:t>一、人大监督</w:t>
      </w:r>
    </w:p>
    <w:p>
      <w:pPr>
        <w:spacing w:line="500" w:lineRule="exact"/>
        <w:ind w:firstLine="560"/>
        <w:rPr>
          <w:rFonts w:ascii="方正仿宋_GBK" w:eastAsia="方正仿宋_GBK"/>
          <w:sz w:val="28"/>
        </w:rPr>
      </w:pPr>
      <w:r>
        <w:rPr>
          <w:rFonts w:ascii="方正仿宋_GBK" w:eastAsia="方正仿宋_GBK"/>
          <w:sz w:val="28"/>
        </w:rPr>
        <w:t>1、监督宪法和法律在我区行政区域内正确实施。2、监督一府两院依法开展工作。3、监督区本级预算按照区人代会通过的预算有效实施。4、监督经济和社会发展计划有效实施。</w:t>
      </w:r>
    </w:p>
    <w:p>
      <w:pPr>
        <w:spacing w:line="500" w:lineRule="exact"/>
        <w:ind w:firstLine="560"/>
        <w:rPr>
          <w:rFonts w:ascii="方正仿宋_GBK" w:eastAsia="方正仿宋_GBK"/>
          <w:sz w:val="28"/>
        </w:rPr>
      </w:pPr>
      <w:r>
        <w:rPr>
          <w:rFonts w:ascii="方正仿宋_GBK" w:eastAsia="方正仿宋_GBK"/>
          <w:sz w:val="28"/>
        </w:rPr>
        <w:t>二、人大会议</w:t>
      </w:r>
    </w:p>
    <w:p>
      <w:pPr>
        <w:spacing w:line="500" w:lineRule="exact"/>
        <w:ind w:firstLine="560"/>
        <w:rPr>
          <w:rFonts w:ascii="方正仿宋_GBK" w:eastAsia="方正仿宋_GBK"/>
          <w:sz w:val="28"/>
        </w:rPr>
      </w:pPr>
      <w:r>
        <w:rPr>
          <w:rFonts w:ascii="方正仿宋_GBK" w:eastAsia="方正仿宋_GBK"/>
          <w:sz w:val="28"/>
        </w:rPr>
        <w:t>1、在区人大代表和区人大常委充分发表审议意见的基础上，作出我区区经济社会发展计划、区总预算和区本级预算等决议。2、通过听取和审议一府两院等工作报告，作出有关报告的决议。3、通过质询、专题询问和工作评议的方式就一府两院的工作进行监督。4、为保证我区重大决策的科学性和法定性，实施作出有关我区重大问题的决定。5、高效、精细的筹备区人代会。</w:t>
      </w:r>
    </w:p>
    <w:p>
      <w:pPr>
        <w:spacing w:line="500" w:lineRule="exact"/>
        <w:ind w:firstLine="560"/>
        <w:rPr>
          <w:rFonts w:ascii="方正仿宋_GBK" w:eastAsia="方正仿宋_GBK"/>
          <w:sz w:val="28"/>
        </w:rPr>
      </w:pPr>
      <w:r>
        <w:rPr>
          <w:rFonts w:ascii="方正仿宋_GBK" w:eastAsia="方正仿宋_GBK"/>
          <w:sz w:val="28"/>
        </w:rPr>
        <w:t>三、选举和任免</w:t>
      </w:r>
    </w:p>
    <w:p>
      <w:pPr>
        <w:spacing w:line="500" w:lineRule="exact"/>
        <w:ind w:firstLine="560"/>
        <w:rPr>
          <w:rFonts w:ascii="方正仿宋_GBK" w:eastAsia="方正仿宋_GBK"/>
          <w:sz w:val="28"/>
        </w:rPr>
      </w:pPr>
      <w:r>
        <w:rPr>
          <w:rFonts w:ascii="方正仿宋_GBK" w:eastAsia="方正仿宋_GBK"/>
          <w:sz w:val="28"/>
        </w:rPr>
        <w:t>1、根据一府两院的工作需要和区委的建议，在充分酝酿和审议的基础上，选举产生一府两院的领导成员，确保选出能力突出、责任心强、有开拓精神的同志担任一府两院的领导同志。2、为确保有关选举的法律法规符合实际，在充分考察调研的基础上，实施对其进行修改。3、对区政府组成人员和区人民法院、区人民检察院主要负责人进行目标责任监督，确保依法履行职责，完成目标任务。</w:t>
      </w:r>
    </w:p>
    <w:p>
      <w:pPr>
        <w:spacing w:line="500" w:lineRule="exact"/>
        <w:ind w:firstLine="560"/>
        <w:rPr>
          <w:rFonts w:ascii="方正仿宋_GBK" w:eastAsia="方正仿宋_GBK"/>
          <w:sz w:val="28"/>
        </w:rPr>
      </w:pPr>
      <w:r>
        <w:rPr>
          <w:rFonts w:ascii="方正仿宋_GBK" w:eastAsia="方正仿宋_GBK"/>
          <w:sz w:val="28"/>
        </w:rPr>
        <w:t>四、人大事务管理。</w:t>
      </w:r>
    </w:p>
    <w:p>
      <w:pPr>
        <w:spacing w:line="500" w:lineRule="exact"/>
        <w:ind w:firstLine="560"/>
        <w:rPr>
          <w:rFonts w:ascii="方正仿宋_GBK" w:eastAsia="方正仿宋_GBK"/>
          <w:sz w:val="28"/>
        </w:rPr>
      </w:pPr>
      <w:r>
        <w:rPr>
          <w:rFonts w:ascii="方正仿宋_GBK" w:eastAsia="方正仿宋_GBK"/>
          <w:sz w:val="28"/>
        </w:rPr>
        <w:t>确保新闻宣传工作正常开展，信息系统运行正常，会议表决系统运转良好，机关基础设施运转良好，人大公报等正常出版，信访工作平稳。</w:t>
      </w:r>
    </w:p>
    <w:p>
      <w:pPr>
        <w:spacing w:line="500" w:lineRule="exact"/>
        <w:ind w:firstLine="560"/>
        <w:rPr>
          <w:rFonts w:ascii="方正仿宋_GBK" w:eastAsia="方正仿宋_GBK"/>
          <w:sz w:val="28"/>
        </w:rPr>
      </w:pPr>
    </w:p>
    <w:p>
      <w:pPr>
        <w:ind w:firstLine="640" w:firstLineChars="200"/>
        <w:jc w:val="left"/>
        <w:rPr>
          <w:rFonts w:hint="eastAsia" w:ascii="Times New Roman" w:hAnsi="Times New Roman" w:eastAsia="方正仿宋_GBK" w:cs="Times New Roman"/>
          <w:b/>
          <w:sz w:val="32"/>
          <w:szCs w:val="32"/>
        </w:rPr>
      </w:pPr>
    </w:p>
    <w:p>
      <w:pPr>
        <w:ind w:firstLine="560"/>
        <w:rPr>
          <w:rFonts w:hint="eastAsia" w:ascii="楷体_GB2312" w:hAnsi="黑体" w:eastAsia="楷体_GB2312" w:cs="Times New Roman"/>
          <w:b/>
          <w:sz w:val="32"/>
          <w:szCs w:val="32"/>
        </w:rPr>
      </w:pPr>
      <w:r>
        <w:rPr>
          <w:rFonts w:hint="eastAsia" w:ascii="楷体_GB2312" w:hAnsi="黑体" w:eastAsia="楷体_GB2312" w:cs="Times New Roman"/>
          <w:b/>
          <w:sz w:val="32"/>
          <w:szCs w:val="32"/>
        </w:rPr>
        <w:t>部门职责及工作活动绩效目标指标：</w:t>
      </w:r>
    </w:p>
    <w:p>
      <w:pPr>
        <w:ind w:firstLine="560"/>
        <w:jc w:val="center"/>
        <w:rPr>
          <w:rFonts w:hint="eastAsia" w:ascii="楷体_GB2312" w:hAnsi="黑体" w:eastAsia="楷体_GB2312" w:cs="Times New Roman"/>
          <w:b/>
          <w:sz w:val="32"/>
          <w:szCs w:val="32"/>
        </w:rPr>
      </w:pPr>
      <w:bookmarkStart w:id="1" w:name="_Toc477872412"/>
      <w:r>
        <w:rPr>
          <w:rFonts w:hint="eastAsia" w:ascii="方正小标宋_GBK" w:eastAsia="方正小标宋_GBK"/>
          <w:sz w:val="32"/>
        </w:rPr>
        <w:t>部门职责-工作活动绩效目标</w:t>
      </w:r>
      <w:bookmarkEnd w:id="1"/>
    </w:p>
    <w:tbl>
      <w:tblPr>
        <w:tblStyle w:val="8"/>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小标宋_GBK" w:eastAsia="方正小标宋_GBK"/>
                <w:sz w:val="24"/>
              </w:rPr>
            </w:pPr>
            <w:r>
              <w:rPr>
                <w:rFonts w:ascii="方正小标宋_GBK" w:eastAsia="方正小标宋_GBK"/>
                <w:sz w:val="24"/>
              </w:rPr>
              <w:t>101</w:t>
            </w:r>
            <w:r>
              <w:rPr>
                <w:rFonts w:hint="eastAsia" w:ascii="方正小标宋_GBK" w:eastAsia="方正小标宋_GBK"/>
                <w:sz w:val="24"/>
              </w:rPr>
              <w:t>石家庄市鹿泉区人民代表大会常务委员会</w:t>
            </w:r>
          </w:p>
        </w:tc>
        <w:tc>
          <w:tcPr>
            <w:tcW w:w="2948" w:type="dxa"/>
            <w:gridSpan w:val="4"/>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sz w:val="24"/>
              </w:rPr>
            </w:pPr>
            <w:r>
              <w:rPr>
                <w:rFonts w:hint="eastAsia" w:ascii="方正书宋_GBK" w:eastAsia="方正书宋_GBK"/>
                <w:sz w:val="24"/>
              </w:rPr>
              <w:t>单位：元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noWrap w:val="0"/>
            <w:vAlign w:val="center"/>
          </w:tcPr>
          <w:p>
            <w:pPr>
              <w:spacing w:line="300" w:lineRule="exact"/>
              <w:jc w:val="left"/>
              <w:outlineLvl w:val="0"/>
            </w:pPr>
          </w:p>
        </w:tc>
        <w:tc>
          <w:tcPr>
            <w:tcW w:w="1276" w:type="dxa"/>
            <w:vMerge w:val="continue"/>
            <w:shd w:val="clear" w:color="auto" w:fill="auto"/>
            <w:noWrap w:val="0"/>
            <w:vAlign w:val="center"/>
          </w:tcPr>
          <w:p>
            <w:pPr>
              <w:spacing w:line="300" w:lineRule="exact"/>
              <w:jc w:val="left"/>
              <w:outlineLvl w:val="0"/>
            </w:pPr>
          </w:p>
        </w:tc>
        <w:tc>
          <w:tcPr>
            <w:tcW w:w="2976" w:type="dxa"/>
            <w:vMerge w:val="continue"/>
            <w:shd w:val="clear" w:color="auto" w:fill="auto"/>
            <w:noWrap w:val="0"/>
            <w:vAlign w:val="center"/>
          </w:tcPr>
          <w:p>
            <w:pPr>
              <w:spacing w:line="300" w:lineRule="exact"/>
              <w:jc w:val="left"/>
              <w:outlineLvl w:val="0"/>
            </w:pPr>
          </w:p>
        </w:tc>
        <w:tc>
          <w:tcPr>
            <w:tcW w:w="2976" w:type="dxa"/>
            <w:vMerge w:val="continue"/>
            <w:shd w:val="clear" w:color="auto" w:fill="auto"/>
            <w:noWrap w:val="0"/>
            <w:vAlign w:val="center"/>
          </w:tcPr>
          <w:p>
            <w:pPr>
              <w:spacing w:line="300" w:lineRule="exact"/>
              <w:jc w:val="left"/>
              <w:outlineLvl w:val="0"/>
            </w:pPr>
          </w:p>
        </w:tc>
        <w:tc>
          <w:tcPr>
            <w:tcW w:w="1417" w:type="dxa"/>
            <w:vMerge w:val="continue"/>
            <w:shd w:val="clear" w:color="auto" w:fill="auto"/>
            <w:noWrap w:val="0"/>
            <w:vAlign w:val="center"/>
          </w:tcPr>
          <w:p>
            <w:pPr>
              <w:spacing w:line="300" w:lineRule="exact"/>
              <w:jc w:val="left"/>
              <w:outlineLvl w:val="0"/>
            </w:pP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ascii="方正书宋_GBK" w:eastAsia="方正书宋_GBK"/>
                <w:b/>
              </w:rPr>
            </w:pPr>
            <w:r>
              <w:rPr>
                <w:rFonts w:hint="eastAsia" w:ascii="方正书宋_GBK" w:eastAsia="方正书宋_GBK"/>
                <w:b/>
              </w:rPr>
              <w:t>人大监督</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325000.00</w:t>
            </w:r>
          </w:p>
        </w:tc>
        <w:tc>
          <w:tcPr>
            <w:tcW w:w="29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进行执法调研和执法检查；围绕政府工作报告和</w:t>
            </w:r>
            <w:r>
              <w:rPr>
                <w:rFonts w:hint="cs" w:ascii="方正书宋_GBK" w:eastAsia="方正书宋_GBK"/>
              </w:rPr>
              <w:t>“</w:t>
            </w:r>
            <w:r>
              <w:rPr>
                <w:rFonts w:hint="eastAsia" w:ascii="方正书宋_GBK" w:eastAsia="方正书宋_GBK"/>
              </w:rPr>
              <w:t>一府两院</w:t>
            </w:r>
            <w:r>
              <w:rPr>
                <w:rFonts w:hint="cs" w:ascii="方正书宋_GBK" w:eastAsia="方正书宋_GBK"/>
              </w:rPr>
              <w:t>”</w:t>
            </w:r>
            <w:r>
              <w:rPr>
                <w:rFonts w:hint="eastAsia" w:ascii="方正书宋_GBK" w:eastAsia="方正书宋_GBK"/>
              </w:rPr>
              <w:t>专项工作报告涉及内容开展调查研究，开展专题询问和工作评议；对</w:t>
            </w:r>
            <w:r>
              <w:rPr>
                <w:rFonts w:hint="cs" w:ascii="方正书宋_GBK" w:eastAsia="方正书宋_GBK"/>
              </w:rPr>
              <w:t>“</w:t>
            </w:r>
            <w:r>
              <w:rPr>
                <w:rFonts w:hint="eastAsia" w:ascii="方正书宋_GBK" w:eastAsia="方正书宋_GBK"/>
              </w:rPr>
              <w:t>一府两院</w:t>
            </w:r>
            <w:r>
              <w:rPr>
                <w:rFonts w:hint="cs" w:ascii="方正书宋_GBK" w:eastAsia="方正书宋_GBK"/>
              </w:rPr>
              <w:t>”</w:t>
            </w:r>
            <w:r>
              <w:rPr>
                <w:rFonts w:hint="eastAsia" w:ascii="方正书宋_GBK" w:eastAsia="方正书宋_GBK"/>
              </w:rPr>
              <w:t>进行监督。</w:t>
            </w:r>
          </w:p>
        </w:tc>
        <w:tc>
          <w:tcPr>
            <w:tcW w:w="29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促进各项法律法规、人大决议、报告等的落实；促进</w:t>
            </w:r>
            <w:r>
              <w:rPr>
                <w:rFonts w:hint="cs" w:ascii="方正书宋_GBK" w:eastAsia="方正书宋_GBK"/>
              </w:rPr>
              <w:t>“</w:t>
            </w:r>
            <w:r>
              <w:rPr>
                <w:rFonts w:hint="eastAsia" w:ascii="方正书宋_GBK" w:eastAsia="方正书宋_GBK"/>
              </w:rPr>
              <w:t>一府两院</w:t>
            </w:r>
            <w:r>
              <w:rPr>
                <w:rFonts w:hint="cs" w:ascii="方正书宋_GBK" w:eastAsia="方正书宋_GBK"/>
              </w:rPr>
              <w:t>”</w:t>
            </w:r>
            <w:r>
              <w:rPr>
                <w:rFonts w:hint="eastAsia" w:ascii="方正书宋_GBK" w:eastAsia="方正书宋_GBK"/>
              </w:rPr>
              <w:t>改进工作；提高规范性文件质量；促进社会和谐稳定。</w:t>
            </w:r>
          </w:p>
        </w:tc>
        <w:tc>
          <w:tcPr>
            <w:tcW w:w="141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专门委员会、常委及代表活动</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组织专门委员会委员、各工作委员会及特聘专家进行对法律实施情况进行执法检查；组织区人大常委及区人大代表进行执法检查和集中视察；开展代表建议督办；组织对常委及代表培训。</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发挥常委及代表的作用，集中反映民意，促进依法履职。</w:t>
            </w:r>
          </w:p>
        </w:tc>
        <w:tc>
          <w:tcPr>
            <w:tcW w:w="1417"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执法检查任务完成率</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建议督办完成率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人大会议</w:t>
            </w:r>
          </w:p>
        </w:tc>
        <w:tc>
          <w:tcPr>
            <w:tcW w:w="1276" w:type="dxa"/>
            <w:shd w:val="clear" w:color="auto" w:fill="auto"/>
            <w:noWrap w:val="0"/>
            <w:vAlign w:val="center"/>
          </w:tcPr>
          <w:p>
            <w:pPr>
              <w:spacing w:line="300" w:lineRule="exact"/>
              <w:jc w:val="left"/>
              <w:rPr>
                <w:rFonts w:ascii="方正书宋_GBK" w:eastAsia="方正书宋_GBK"/>
              </w:rPr>
            </w:pP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区人民代表大会和常务委员会各种会议的筹备、会务工作，负责常委会文件起草、审核把关，常委会会议、主任会议及常委会党组会议决定事项、工作部署、重要文件及领导批示的传达和督办。</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完善各项会议制度，规范会议程序，提高会议质量，提高人大代表及常委会审议水平。</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人大会议</w:t>
            </w:r>
          </w:p>
        </w:tc>
        <w:tc>
          <w:tcPr>
            <w:tcW w:w="1276" w:type="dxa"/>
            <w:shd w:val="clear" w:color="auto" w:fill="auto"/>
            <w:noWrap w:val="0"/>
            <w:vAlign w:val="center"/>
          </w:tcPr>
          <w:p>
            <w:pPr>
              <w:spacing w:line="300" w:lineRule="exact"/>
              <w:jc w:val="left"/>
              <w:rPr>
                <w:rFonts w:ascii="方正书宋_GBK" w:eastAsia="方正书宋_GBK"/>
              </w:rPr>
            </w:pP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承担区人民代表大会和常务委员会各种会议的筹备、会务工作，负责常委会文件起草、审核把关，常委会会议、主任会议及常委会党组会议决定事项、工作部署、重要文件及领导批示的传达和督办。</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完善各项会议制度，规范会议程序，提高会议质量，提高人大代表及常委会审议水平。</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会议筹备及会务工作的完成率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选举和任免</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50000.00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检查监督代表法、选举法及其实施办法的贯彻实施；承担人大换届选举及人事任免服务工作；负责对区政府组成人员和区级人民法院、区人民检察院主要负责人的目标责任书、述职报告的督办工作。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确保换届选举工作顺利完成，实现省市和区委人事安排部署；提高组织换届选举工作水平。</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换届选举及人事任免</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承担区人大换届选举、区级国家机关领导人的选举和常委会人事任免的服务工作；指导区、乡人大换届选举工作；负责对区政府组成人员和区人民法院、区人民检察院主要负责人的目标责任书、述职报告的督办工作；对换届选举人员进行培训。</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确保区人大和乡人大换届选举工作顺利完成，提高组织换届选举工作水平；高质量完成国家机关领导人选举和常委会人事任免服务工作；高效督办有关部门负责人的目标责任书和述职报告。</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换届选举工作完成率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政治任务实现率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人大事务管理</w:t>
            </w:r>
          </w:p>
        </w:tc>
        <w:tc>
          <w:tcPr>
            <w:tcW w:w="1276" w:type="dxa"/>
            <w:shd w:val="clear" w:color="auto" w:fill="auto"/>
            <w:noWrap w:val="0"/>
            <w:vAlign w:val="center"/>
          </w:tcPr>
          <w:p>
            <w:pPr>
              <w:spacing w:line="300" w:lineRule="exact"/>
              <w:jc w:val="left"/>
              <w:rPr>
                <w:rFonts w:ascii="方正书宋_GBK" w:eastAsia="方正书宋_GBK"/>
              </w:rPr>
            </w:pP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新闻宣传和机关信息化建设与维护；人代会及常委会会议表决系统、机关基础设施建设与维护；区人大机关日常管理事务；公报、年检的编辑印刷；信访工作。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促进机关自身建设、服务保障能力进一步提升。</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综合事务管理</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机关文书档案印信管理和保密，机关人事、离退休人员服务，财务、基建、后勤服务及警卫工作；机关信息建设和办公自动化建设；负责对全区人大系统信息建设和办公自动化建设的指导、规划、组织、协调和人员培训工作；纪检组办案及培训；领导交办的其他工作。</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保障新闻宣传与新闻发布工作正常开展，提高人大信息透明度和影响力；保障会议表决系统正常运转；网络与办公平台正常运行；促进社会和谐稳定。</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综合事务管理工作完成率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综合业务管理</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办理来信来访，日常外事活动和区人大代表团出访事务，内外宾接待，常委会新闻发布和对外宣传，人大系列工作的宣传报道；会议表决系统建设与维护；代表大会和常委会会议公报、人大工作年鉴、大事记和组织史的编写及印刷；负责区内外人大常委会联系；重大课题调研。</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保障新闻宣传与新闻发布工作正常开展，提高人大信息透明度和影响力；保障会议表决系统正常运转；网络与办公平台正常运行；促进社会和谐稳定。</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会议表决系统建设与维护工作完成率</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表决系统完好率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bl>
    <w:p>
      <w:pPr>
        <w:jc w:val="center"/>
        <w:outlineLvl w:val="0"/>
        <w:rPr>
          <w:rFonts w:hint="eastAsia" w:ascii="方正小标宋_GBK" w:hAnsi="Times New Roman" w:eastAsia="方正小标宋_GBK" w:cs="Times New Roman"/>
          <w:sz w:val="32"/>
          <w:szCs w:val="24"/>
        </w:rPr>
      </w:pPr>
    </w:p>
    <w:bookmarkEnd w:id="0"/>
    <w:p>
      <w:pPr>
        <w:autoSpaceDE w:val="0"/>
        <w:autoSpaceDN w:val="0"/>
        <w:adjustRightInd w:val="0"/>
        <w:ind w:firstLine="640" w:firstLineChars="200"/>
        <w:jc w:val="left"/>
        <w:rPr>
          <w:rFonts w:hint="eastAsia" w:ascii="仿宋" w:hAnsi="仿宋" w:eastAsia="仿宋" w:cs="仿宋"/>
          <w:sz w:val="32"/>
          <w:szCs w:val="32"/>
        </w:rPr>
      </w:pPr>
      <w:r>
        <w:rPr>
          <w:rFonts w:hint="eastAsia" w:ascii="黑体" w:hAnsi="黑体" w:eastAsia="黑体" w:cs="Times New Roman"/>
          <w:sz w:val="32"/>
          <w:szCs w:val="32"/>
        </w:rPr>
        <w:t>六、政府采购预算情况</w:t>
      </w:r>
    </w:p>
    <w:tbl>
      <w:tblPr>
        <w:tblStyle w:val="8"/>
        <w:tblW w:w="13868" w:type="dxa"/>
        <w:tblInd w:w="0" w:type="dxa"/>
        <w:tblLayout w:type="fixed"/>
        <w:tblCellMar>
          <w:top w:w="15" w:type="dxa"/>
          <w:left w:w="15" w:type="dxa"/>
          <w:bottom w:w="15" w:type="dxa"/>
          <w:right w:w="15" w:type="dxa"/>
        </w:tblCellMar>
      </w:tblPr>
      <w:tblGrid>
        <w:gridCol w:w="1282"/>
        <w:gridCol w:w="1279"/>
        <w:gridCol w:w="1057"/>
        <w:gridCol w:w="1071"/>
        <w:gridCol w:w="736"/>
        <w:gridCol w:w="530"/>
        <w:gridCol w:w="665"/>
        <w:gridCol w:w="879"/>
        <w:gridCol w:w="1069"/>
        <w:gridCol w:w="1060"/>
        <w:gridCol w:w="1069"/>
        <w:gridCol w:w="1057"/>
        <w:gridCol w:w="1057"/>
        <w:gridCol w:w="1057"/>
      </w:tblGrid>
      <w:tr>
        <w:tblPrEx>
          <w:tblLayout w:type="fixed"/>
          <w:tblCellMar>
            <w:top w:w="15" w:type="dxa"/>
            <w:left w:w="15" w:type="dxa"/>
            <w:bottom w:w="15" w:type="dxa"/>
            <w:right w:w="15" w:type="dxa"/>
          </w:tblCellMar>
        </w:tblPrEx>
        <w:trPr>
          <w:trHeight w:val="285" w:hRule="atLeast"/>
        </w:trPr>
        <w:tc>
          <w:tcPr>
            <w:tcW w:w="25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政府采购项目来源</w:t>
            </w:r>
          </w:p>
        </w:tc>
        <w:tc>
          <w:tcPr>
            <w:tcW w:w="1057"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采购物品名称</w:t>
            </w:r>
          </w:p>
        </w:tc>
        <w:tc>
          <w:tcPr>
            <w:tcW w:w="1071"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政府采购目录序号</w:t>
            </w:r>
          </w:p>
        </w:tc>
        <w:tc>
          <w:tcPr>
            <w:tcW w:w="736"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数量  单位</w:t>
            </w:r>
          </w:p>
        </w:tc>
        <w:tc>
          <w:tcPr>
            <w:tcW w:w="530"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数量</w:t>
            </w:r>
          </w:p>
        </w:tc>
        <w:tc>
          <w:tcPr>
            <w:tcW w:w="665"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单价</w:t>
            </w:r>
          </w:p>
        </w:tc>
        <w:tc>
          <w:tcPr>
            <w:tcW w:w="7248" w:type="dxa"/>
            <w:gridSpan w:val="7"/>
            <w:tcBorders>
              <w:top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政府采购金额</w:t>
            </w:r>
          </w:p>
        </w:tc>
      </w:tr>
      <w:tr>
        <w:tblPrEx>
          <w:tblLayout w:type="fixed"/>
          <w:tblCellMar>
            <w:top w:w="15" w:type="dxa"/>
            <w:left w:w="15" w:type="dxa"/>
            <w:bottom w:w="15" w:type="dxa"/>
            <w:right w:w="15" w:type="dxa"/>
          </w:tblCellMar>
        </w:tblPrEx>
        <w:trPr>
          <w:trHeight w:val="285" w:hRule="atLeast"/>
        </w:trPr>
        <w:tc>
          <w:tcPr>
            <w:tcW w:w="1282" w:type="dxa"/>
            <w:vMerge w:val="restart"/>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项目名称</w:t>
            </w:r>
          </w:p>
        </w:tc>
        <w:tc>
          <w:tcPr>
            <w:tcW w:w="1279" w:type="dxa"/>
            <w:vMerge w:val="restart"/>
            <w:tcBorders>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预算资金</w:t>
            </w:r>
          </w:p>
        </w:tc>
        <w:tc>
          <w:tcPr>
            <w:tcW w:w="1057"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1071"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736"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530"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665"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879"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总计</w:t>
            </w:r>
          </w:p>
        </w:tc>
        <w:tc>
          <w:tcPr>
            <w:tcW w:w="5312" w:type="dxa"/>
            <w:gridSpan w:val="5"/>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当年部门预算安排资金</w:t>
            </w:r>
          </w:p>
        </w:tc>
        <w:tc>
          <w:tcPr>
            <w:tcW w:w="1057"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其他渠道资金</w:t>
            </w:r>
          </w:p>
        </w:tc>
      </w:tr>
      <w:tr>
        <w:tblPrEx>
          <w:tblLayout w:type="fixed"/>
          <w:tblCellMar>
            <w:top w:w="15" w:type="dxa"/>
            <w:left w:w="15" w:type="dxa"/>
            <w:bottom w:w="15" w:type="dxa"/>
            <w:right w:w="15" w:type="dxa"/>
          </w:tblCellMar>
        </w:tblPrEx>
        <w:trPr>
          <w:trHeight w:val="510" w:hRule="atLeast"/>
        </w:trPr>
        <w:tc>
          <w:tcPr>
            <w:tcW w:w="1282"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1279" w:type="dxa"/>
            <w:vMerge w:val="continue"/>
            <w:tcBorders>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1057"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1071"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736"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530"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665"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879"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合计</w:t>
            </w:r>
          </w:p>
        </w:tc>
        <w:tc>
          <w:tcPr>
            <w:tcW w:w="1060" w:type="dxa"/>
            <w:tcBorders>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一般公共预算拨款</w:t>
            </w:r>
          </w:p>
        </w:tc>
        <w:tc>
          <w:tcPr>
            <w:tcW w:w="1069" w:type="dxa"/>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基金预算拨款</w:t>
            </w:r>
          </w:p>
        </w:tc>
        <w:tc>
          <w:tcPr>
            <w:tcW w:w="1057" w:type="dxa"/>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财政专户核拨</w:t>
            </w:r>
          </w:p>
        </w:tc>
        <w:tc>
          <w:tcPr>
            <w:tcW w:w="1057" w:type="dxa"/>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其他来源收入</w:t>
            </w:r>
          </w:p>
        </w:tc>
        <w:tc>
          <w:tcPr>
            <w:tcW w:w="1057" w:type="dxa"/>
            <w:vMerge w:val="continue"/>
            <w:tcBorders>
              <w:top w:val="single" w:color="000000" w:sz="4" w:space="0"/>
              <w:bottom w:val="single" w:color="000000" w:sz="4" w:space="0"/>
              <w:right w:val="single" w:color="000000" w:sz="4" w:space="0"/>
            </w:tcBorders>
            <w:noWrap w:val="0"/>
            <w:vAlign w:val="center"/>
          </w:tcPr>
          <w:p>
            <w:pPr>
              <w:jc w:val="center"/>
              <w:rPr>
                <w:rFonts w:hint="eastAsia" w:ascii="方正书宋_GBK" w:hAnsi="方正书宋_GBK" w:eastAsia="方正书宋_GBK" w:cs="方正书宋_GBK"/>
                <w:b/>
                <w:color w:val="000000"/>
                <w:szCs w:val="21"/>
              </w:rPr>
            </w:pPr>
          </w:p>
        </w:tc>
      </w:tr>
      <w:tr>
        <w:tblPrEx>
          <w:tblLayout w:type="fixed"/>
          <w:tblCellMar>
            <w:top w:w="15" w:type="dxa"/>
            <w:left w:w="15" w:type="dxa"/>
            <w:bottom w:w="15" w:type="dxa"/>
            <w:right w:w="15" w:type="dxa"/>
          </w:tblCellMar>
        </w:tblPrEx>
        <w:trPr>
          <w:trHeight w:val="285" w:hRule="atLeast"/>
        </w:trPr>
        <w:tc>
          <w:tcPr>
            <w:tcW w:w="1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合　计</w:t>
            </w:r>
          </w:p>
        </w:tc>
        <w:tc>
          <w:tcPr>
            <w:tcW w:w="1279" w:type="dxa"/>
            <w:tcBorders>
              <w:top w:val="single" w:color="000000" w:sz="4" w:space="0"/>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noWrap w:val="0"/>
            <w:vAlign w:val="center"/>
          </w:tcPr>
          <w:p>
            <w:pPr>
              <w:jc w:val="left"/>
              <w:rPr>
                <w:rFonts w:hint="eastAsia" w:ascii="方正书宋_GBK" w:hAnsi="方正书宋_GBK" w:eastAsia="方正书宋_GBK" w:cs="方正书宋_GBK"/>
                <w:b/>
                <w:color w:val="000000"/>
                <w:szCs w:val="21"/>
              </w:rPr>
            </w:pPr>
          </w:p>
        </w:tc>
        <w:tc>
          <w:tcPr>
            <w:tcW w:w="1071" w:type="dxa"/>
            <w:tcBorders>
              <w:top w:val="single" w:color="000000" w:sz="4" w:space="0"/>
              <w:bottom w:val="single" w:color="000000" w:sz="4" w:space="0"/>
              <w:right w:val="single" w:color="000000" w:sz="4" w:space="0"/>
            </w:tcBorders>
            <w:noWrap w:val="0"/>
            <w:vAlign w:val="center"/>
          </w:tcPr>
          <w:p>
            <w:pPr>
              <w:jc w:val="left"/>
              <w:rPr>
                <w:rFonts w:hint="eastAsia" w:ascii="方正书宋_GBK" w:hAnsi="方正书宋_GBK" w:eastAsia="方正书宋_GBK" w:cs="方正书宋_GBK"/>
                <w:b/>
                <w:color w:val="000000"/>
                <w:szCs w:val="21"/>
              </w:rPr>
            </w:pPr>
          </w:p>
        </w:tc>
        <w:tc>
          <w:tcPr>
            <w:tcW w:w="736" w:type="dxa"/>
            <w:tcBorders>
              <w:top w:val="single" w:color="000000" w:sz="4" w:space="0"/>
              <w:bottom w:val="single" w:color="000000" w:sz="4" w:space="0"/>
              <w:right w:val="single" w:color="000000" w:sz="4" w:space="0"/>
            </w:tcBorders>
            <w:noWrap w:val="0"/>
            <w:vAlign w:val="center"/>
          </w:tcPr>
          <w:p>
            <w:pPr>
              <w:jc w:val="left"/>
              <w:rPr>
                <w:rFonts w:hint="eastAsia" w:ascii="方正书宋_GBK" w:hAnsi="方正书宋_GBK" w:eastAsia="方正书宋_GBK" w:cs="方正书宋_GBK"/>
                <w:b/>
                <w:color w:val="000000"/>
                <w:szCs w:val="21"/>
              </w:rPr>
            </w:pPr>
          </w:p>
        </w:tc>
        <w:tc>
          <w:tcPr>
            <w:tcW w:w="530" w:type="dxa"/>
            <w:tcBorders>
              <w:top w:val="single" w:color="000000" w:sz="4" w:space="0"/>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665" w:type="dxa"/>
            <w:tcBorders>
              <w:top w:val="single" w:color="000000" w:sz="4" w:space="0"/>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879" w:type="dxa"/>
            <w:tcBorders>
              <w:top w:val="single" w:color="000000" w:sz="4" w:space="0"/>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top w:val="single" w:color="000000" w:sz="4" w:space="0"/>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b/>
                <w:color w:val="000000"/>
                <w:szCs w:val="21"/>
              </w:rPr>
            </w:pPr>
          </w:p>
        </w:tc>
        <w:tc>
          <w:tcPr>
            <w:tcW w:w="1060" w:type="dxa"/>
            <w:tcBorders>
              <w:top w:val="single" w:color="000000" w:sz="4" w:space="0"/>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top w:val="single" w:color="000000" w:sz="4" w:space="0"/>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书宋_GBK" w:hAnsi="方正书宋_GBK" w:eastAsia="方正书宋_GBK" w:cs="方正书宋_GBK"/>
                <w:b/>
                <w:color w:val="000000"/>
                <w:szCs w:val="21"/>
              </w:rPr>
            </w:pPr>
          </w:p>
        </w:tc>
        <w:tc>
          <w:tcPr>
            <w:tcW w:w="1279"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noWrap w:val="0"/>
            <w:vAlign w:val="center"/>
          </w:tcPr>
          <w:p>
            <w:pPr>
              <w:jc w:val="left"/>
              <w:rPr>
                <w:rFonts w:hint="eastAsia" w:ascii="方正书宋_GBK" w:hAnsi="方正书宋_GBK" w:eastAsia="方正书宋_GBK" w:cs="方正书宋_GBK"/>
                <w:b/>
                <w:color w:val="000000"/>
                <w:szCs w:val="21"/>
              </w:rPr>
            </w:pPr>
          </w:p>
        </w:tc>
        <w:tc>
          <w:tcPr>
            <w:tcW w:w="1071" w:type="dxa"/>
            <w:tcBorders>
              <w:bottom w:val="single" w:color="000000" w:sz="4" w:space="0"/>
              <w:right w:val="single" w:color="000000" w:sz="4" w:space="0"/>
            </w:tcBorders>
            <w:noWrap w:val="0"/>
            <w:vAlign w:val="center"/>
          </w:tcPr>
          <w:p>
            <w:pPr>
              <w:jc w:val="left"/>
              <w:rPr>
                <w:rFonts w:hint="eastAsia" w:ascii="方正书宋_GBK" w:hAnsi="方正书宋_GBK" w:eastAsia="方正书宋_GBK" w:cs="方正书宋_GBK"/>
                <w:b/>
                <w:color w:val="000000"/>
                <w:szCs w:val="21"/>
              </w:rPr>
            </w:pPr>
          </w:p>
        </w:tc>
        <w:tc>
          <w:tcPr>
            <w:tcW w:w="736" w:type="dxa"/>
            <w:tcBorders>
              <w:bottom w:val="single" w:color="000000" w:sz="4" w:space="0"/>
              <w:right w:val="single" w:color="000000" w:sz="4" w:space="0"/>
            </w:tcBorders>
            <w:noWrap w:val="0"/>
            <w:vAlign w:val="center"/>
          </w:tcPr>
          <w:p>
            <w:pPr>
              <w:jc w:val="left"/>
              <w:rPr>
                <w:rFonts w:hint="eastAsia" w:ascii="方正书宋_GBK" w:hAnsi="方正书宋_GBK" w:eastAsia="方正书宋_GBK" w:cs="方正书宋_GBK"/>
                <w:b/>
                <w:color w:val="000000"/>
                <w:szCs w:val="21"/>
              </w:rPr>
            </w:pPr>
          </w:p>
        </w:tc>
        <w:tc>
          <w:tcPr>
            <w:tcW w:w="530"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665"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879"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b/>
                <w:color w:val="000000"/>
                <w:szCs w:val="21"/>
              </w:rPr>
            </w:pPr>
          </w:p>
        </w:tc>
        <w:tc>
          <w:tcPr>
            <w:tcW w:w="1060"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noWrap w:val="0"/>
            <w:vAlign w:val="center"/>
          </w:tcPr>
          <w:p>
            <w:pPr>
              <w:rPr>
                <w:rFonts w:hint="eastAsia" w:ascii="宋体" w:hAnsi="宋体" w:cs="宋体"/>
                <w:color w:val="000000"/>
                <w:sz w:val="24"/>
                <w:szCs w:val="24"/>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noWrap w:val="0"/>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noWrap w:val="0"/>
            <w:vAlign w:val="center"/>
          </w:tcPr>
          <w:p>
            <w:pPr>
              <w:widowControl/>
              <w:jc w:val="left"/>
              <w:textAlignment w:val="center"/>
              <w:rPr>
                <w:rFonts w:hint="eastAsia" w:ascii="方正书宋_GBK" w:hAnsi="方正书宋_GBK" w:cs="方正书宋_GBK"/>
                <w:color w:val="000000"/>
                <w:szCs w:val="21"/>
              </w:rPr>
            </w:pPr>
          </w:p>
        </w:tc>
        <w:tc>
          <w:tcPr>
            <w:tcW w:w="1071" w:type="dxa"/>
            <w:tcBorders>
              <w:bottom w:val="single" w:color="000000" w:sz="4" w:space="0"/>
              <w:right w:val="single" w:color="000000" w:sz="4" w:space="0"/>
            </w:tcBorders>
            <w:noWrap w:val="0"/>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noWrap w:val="0"/>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noWrap w:val="0"/>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noWrap w:val="0"/>
            <w:vAlign w:val="center"/>
          </w:tcPr>
          <w:p>
            <w:pPr>
              <w:jc w:val="right"/>
              <w:rPr>
                <w:rFonts w:hint="eastAsia" w:ascii="方正书宋_GBK" w:hAnsi="方正书宋_GBK" w:eastAsia="方正书宋_GBK" w:cs="方正书宋_GBK"/>
                <w:color w:val="000000"/>
                <w:szCs w:val="21"/>
              </w:rPr>
            </w:pPr>
          </w:p>
        </w:tc>
      </w:tr>
    </w:tbl>
    <w:p>
      <w:pPr>
        <w:widowControl/>
        <w:spacing w:line="580" w:lineRule="atLeast"/>
        <w:jc w:val="center"/>
        <w:rPr>
          <w:rFonts w:hint="eastAsia" w:ascii="宋体" w:hAnsi="宋体" w:cs="宋体"/>
          <w:kern w:val="0"/>
          <w:sz w:val="44"/>
          <w:szCs w:val="44"/>
        </w:rPr>
      </w:pPr>
    </w:p>
    <w:p>
      <w:pPr>
        <w:widowControl/>
        <w:spacing w:line="580" w:lineRule="atLeast"/>
        <w:ind w:firstLine="640"/>
        <w:jc w:val="left"/>
        <w:rPr>
          <w:rFonts w:hint="eastAsia" w:ascii="仿宋_GB2312" w:hAnsi="仿宋" w:eastAsia="仿宋_GB2312"/>
          <w:sz w:val="32"/>
          <w:szCs w:val="32"/>
        </w:rPr>
      </w:pPr>
      <w:r>
        <w:rPr>
          <w:rFonts w:hint="eastAsia" w:ascii="仿宋_GB2312" w:hAnsi="仿宋" w:eastAsia="仿宋_GB2312"/>
          <w:sz w:val="32"/>
          <w:szCs w:val="32"/>
        </w:rPr>
        <w:t>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年度我单位无政府采购预算。</w:t>
      </w:r>
    </w:p>
    <w:p>
      <w:pPr>
        <w:spacing w:line="500" w:lineRule="exact"/>
        <w:ind w:firstLine="640"/>
        <w:rPr>
          <w:rFonts w:hint="eastAsia" w:ascii="仿宋_GB2312" w:hAnsi="仿宋_GB2312" w:eastAsia="仿宋_GB2312" w:cs="仿宋_GB2312"/>
          <w:b/>
          <w:bCs/>
          <w:sz w:val="32"/>
          <w:szCs w:val="32"/>
        </w:rPr>
      </w:pPr>
    </w:p>
    <w:p>
      <w:pPr>
        <w:autoSpaceDE w:val="0"/>
        <w:autoSpaceDN w:val="0"/>
        <w:adjustRightInd w:val="0"/>
        <w:ind w:firstLine="640" w:firstLineChars="200"/>
        <w:jc w:val="left"/>
        <w:rPr>
          <w:rFonts w:hint="eastAsia" w:ascii="仿宋" w:hAnsi="仿宋" w:eastAsia="仿宋" w:cs="仿宋"/>
          <w:sz w:val="32"/>
          <w:szCs w:val="32"/>
        </w:rPr>
      </w:pPr>
    </w:p>
    <w:p>
      <w:pPr>
        <w:numPr>
          <w:ilvl w:val="0"/>
          <w:numId w:val="1"/>
        </w:numPr>
        <w:autoSpaceDE w:val="0"/>
        <w:autoSpaceDN w:val="0"/>
        <w:adjustRightInd w:val="0"/>
        <w:ind w:firstLine="640" w:firstLineChars="200"/>
        <w:jc w:val="left"/>
        <w:rPr>
          <w:rFonts w:hint="eastAsia" w:ascii="黑体" w:hAnsi="黑体" w:eastAsia="黑体" w:cs="Times New Roman"/>
          <w:sz w:val="32"/>
          <w:szCs w:val="32"/>
        </w:rPr>
      </w:pPr>
      <w:r>
        <w:rPr>
          <w:rFonts w:hint="eastAsia" w:ascii="黑体" w:hAnsi="黑体" w:eastAsia="黑体" w:cs="Times New Roman"/>
          <w:sz w:val="32"/>
          <w:szCs w:val="32"/>
        </w:rPr>
        <w:t>国有资产信息</w:t>
      </w:r>
    </w:p>
    <w:p>
      <w:pPr>
        <w:ind w:firstLine="640" w:firstLineChars="200"/>
        <w:outlineLvl w:val="0"/>
        <w:rPr>
          <w:rFonts w:hint="eastAsia" w:ascii="仿宋_GB2312" w:hAnsi="仿宋" w:eastAsia="仿宋_GB2312"/>
          <w:sz w:val="32"/>
          <w:szCs w:val="32"/>
        </w:rPr>
      </w:pPr>
      <w:r>
        <w:rPr>
          <w:rFonts w:hint="eastAsia" w:ascii="仿宋_GB2312" w:hAnsi="仿宋" w:eastAsia="仿宋_GB2312"/>
          <w:sz w:val="32"/>
          <w:szCs w:val="32"/>
        </w:rPr>
        <w:t>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年初固定资产</w:t>
      </w:r>
      <w:r>
        <w:rPr>
          <w:rFonts w:hint="eastAsia" w:ascii="仿宋_GB2312" w:hAnsi="仿宋" w:eastAsia="仿宋_GB2312"/>
          <w:sz w:val="32"/>
          <w:szCs w:val="32"/>
          <w:lang w:val="en-US" w:eastAsia="zh-CN"/>
        </w:rPr>
        <w:t>129.5</w:t>
      </w:r>
      <w:r>
        <w:rPr>
          <w:rFonts w:hint="eastAsia" w:ascii="仿宋_GB2312" w:hAnsi="仿宋" w:eastAsia="仿宋_GB2312"/>
          <w:sz w:val="32"/>
          <w:szCs w:val="32"/>
        </w:rPr>
        <w:t xml:space="preserve">万元。其中：汽车 84.7 万元、其他固定资产  </w:t>
      </w:r>
      <w:r>
        <w:rPr>
          <w:rFonts w:hint="eastAsia" w:ascii="仿宋_GB2312" w:hAnsi="仿宋" w:eastAsia="仿宋_GB2312"/>
          <w:sz w:val="32"/>
          <w:szCs w:val="32"/>
          <w:lang w:val="en-US" w:eastAsia="zh-CN"/>
        </w:rPr>
        <w:t>44.8</w:t>
      </w:r>
      <w:r>
        <w:rPr>
          <w:rFonts w:hint="eastAsia" w:ascii="仿宋_GB2312" w:hAnsi="仿宋" w:eastAsia="仿宋_GB2312"/>
          <w:sz w:val="32"/>
          <w:szCs w:val="32"/>
        </w:rPr>
        <w:t>万元。</w:t>
      </w:r>
    </w:p>
    <w:tbl>
      <w:tblPr>
        <w:tblStyle w:val="8"/>
        <w:tblW w:w="13482" w:type="dxa"/>
        <w:tblInd w:w="93" w:type="dxa"/>
        <w:tblLayout w:type="fixed"/>
        <w:tblCellMar>
          <w:top w:w="0" w:type="dxa"/>
          <w:left w:w="108" w:type="dxa"/>
          <w:bottom w:w="0" w:type="dxa"/>
          <w:right w:w="108" w:type="dxa"/>
        </w:tblCellMar>
      </w:tblPr>
      <w:tblGrid>
        <w:gridCol w:w="5224"/>
        <w:gridCol w:w="3155"/>
        <w:gridCol w:w="5103"/>
      </w:tblGrid>
      <w:tr>
        <w:tblPrEx>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rPr>
              <w:t>固定资产占用情况表</w:t>
            </w:r>
          </w:p>
        </w:tc>
      </w:tr>
      <w:tr>
        <w:tblPrEx>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编制部门：</w:t>
            </w:r>
            <w:r>
              <w:rPr>
                <w:rFonts w:hint="eastAsia" w:ascii="宋体" w:hAnsi="宋体" w:eastAsia="宋体" w:cs="宋体"/>
                <w:kern w:val="0"/>
                <w:sz w:val="22"/>
                <w:lang w:eastAsia="zh-CN"/>
              </w:rPr>
              <w:t>石家庄市鹿泉区人民代表大会常务委员会</w:t>
            </w:r>
            <w:bookmarkStart w:id="2" w:name="_GoBack"/>
            <w:bookmarkEnd w:id="2"/>
          </w:p>
        </w:tc>
        <w:tc>
          <w:tcPr>
            <w:tcW w:w="5103" w:type="dxa"/>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5103"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129.5</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0</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0</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0</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0</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5</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84.7</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0</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0</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44.8</w:t>
            </w:r>
          </w:p>
        </w:tc>
      </w:tr>
    </w:tbl>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w:t>
      </w:r>
      <w:r>
        <w:rPr>
          <w:rFonts w:hint="eastAsia" w:ascii="仿宋" w:hAnsi="仿宋" w:eastAsia="仿宋" w:cs="仿宋"/>
          <w:sz w:val="32"/>
          <w:szCs w:val="32"/>
          <w:lang w:eastAsia="zh-CN"/>
        </w:rPr>
        <w:t>区</w:t>
      </w:r>
      <w:r>
        <w:rPr>
          <w:rFonts w:hint="eastAsia" w:ascii="仿宋" w:hAnsi="仿宋" w:eastAsia="仿宋" w:cs="仿宋"/>
          <w:sz w:val="32"/>
          <w:szCs w:val="32"/>
        </w:rPr>
        <w:t>级财政当年拨付的资金。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w:t>
      </w:r>
      <w:r>
        <w:rPr>
          <w:rFonts w:hint="eastAsia" w:ascii="仿宋" w:hAnsi="仿宋" w:eastAsia="仿宋" w:cs="仿宋"/>
          <w:sz w:val="32"/>
          <w:szCs w:val="32"/>
          <w:lang w:eastAsia="zh-CN"/>
        </w:rPr>
        <w:t>区</w:t>
      </w:r>
      <w:r>
        <w:rPr>
          <w:rFonts w:hint="eastAsia" w:ascii="仿宋" w:hAnsi="仿宋" w:eastAsia="仿宋" w:cs="仿宋"/>
          <w:sz w:val="32"/>
          <w:szCs w:val="32"/>
        </w:rPr>
        <w:t>级财政预算管理的“三公”经费，是指</w:t>
      </w:r>
      <w:r>
        <w:rPr>
          <w:rFonts w:hint="eastAsia" w:ascii="仿宋" w:hAnsi="仿宋" w:eastAsia="仿宋" w:cs="仿宋"/>
          <w:sz w:val="32"/>
          <w:szCs w:val="32"/>
          <w:lang w:eastAsia="zh-CN"/>
        </w:rPr>
        <w:t>区</w:t>
      </w:r>
      <w:r>
        <w:rPr>
          <w:rFonts w:hint="eastAsia" w:ascii="仿宋" w:hAnsi="仿宋" w:eastAsia="仿宋" w:cs="仿宋"/>
          <w:sz w:val="32"/>
          <w:szCs w:val="32"/>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2E34D9"/>
    <w:multiLevelType w:val="singleLevel"/>
    <w:tmpl w:val="6E2E34D9"/>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289479F"/>
    <w:rsid w:val="05B416F5"/>
    <w:rsid w:val="079C3DC2"/>
    <w:rsid w:val="12177F14"/>
    <w:rsid w:val="14D20EC0"/>
    <w:rsid w:val="190E2243"/>
    <w:rsid w:val="27357658"/>
    <w:rsid w:val="36801CC7"/>
    <w:rsid w:val="4E68671C"/>
    <w:rsid w:val="51523ED9"/>
    <w:rsid w:val="53A544A5"/>
    <w:rsid w:val="54865EB3"/>
    <w:rsid w:val="59D7361A"/>
    <w:rsid w:val="5A8F02D0"/>
    <w:rsid w:val="7C01355C"/>
    <w:rsid w:val="7F59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qFormat/>
    <w:uiPriority w:val="99"/>
    <w:rPr>
      <w:sz w:val="18"/>
      <w:szCs w:val="18"/>
    </w:rPr>
  </w:style>
  <w:style w:type="paragraph" w:styleId="3">
    <w:name w:val="footer"/>
    <w:basedOn w:val="1"/>
    <w:link w:val="14"/>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3"/>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10">
    <w:name w:val="page number"/>
    <w:unhideWhenUsed/>
    <w:qFormat/>
    <w:uiPriority w:val="99"/>
  </w:style>
  <w:style w:type="character" w:styleId="11">
    <w:name w:val="Hyperlink"/>
    <w:unhideWhenUsed/>
    <w:qFormat/>
    <w:uiPriority w:val="99"/>
    <w:rPr>
      <w:color w:val="0000FF"/>
      <w:u w:val="single"/>
    </w:rPr>
  </w:style>
  <w:style w:type="character" w:styleId="12">
    <w:name w:val="footnote reference"/>
    <w:unhideWhenUsed/>
    <w:qFormat/>
    <w:uiPriority w:val="99"/>
    <w:rPr>
      <w:vertAlign w:val="superscript"/>
    </w:rPr>
  </w:style>
  <w:style w:type="character" w:customStyle="1" w:styleId="13">
    <w:name w:val="页眉 Char"/>
    <w:basedOn w:val="9"/>
    <w:link w:val="4"/>
    <w:qFormat/>
    <w:uiPriority w:val="99"/>
    <w:rPr>
      <w:rFonts w:ascii="Times New Roman" w:hAnsi="Times New Roman" w:eastAsia="宋体" w:cs="Times New Roman"/>
      <w:sz w:val="18"/>
      <w:szCs w:val="18"/>
    </w:rPr>
  </w:style>
  <w:style w:type="character" w:customStyle="1" w:styleId="14">
    <w:name w:val="页脚 Char"/>
    <w:basedOn w:val="9"/>
    <w:link w:val="3"/>
    <w:qFormat/>
    <w:uiPriority w:val="99"/>
    <w:rPr>
      <w:rFonts w:ascii="Times New Roman" w:hAnsi="Times New Roman" w:eastAsia="宋体" w:cs="Times New Roman"/>
      <w:sz w:val="18"/>
      <w:szCs w:val="18"/>
    </w:rPr>
  </w:style>
  <w:style w:type="character" w:customStyle="1" w:styleId="15">
    <w:name w:val="批注框文本 Char"/>
    <w:basedOn w:val="9"/>
    <w:link w:val="2"/>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7">
    <w:name w:val="脚注文本 Char"/>
    <w:basedOn w:val="9"/>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TotalTime>13</TotalTime>
  <ScaleCrop>false</ScaleCrop>
  <LinksUpToDate>false</LinksUpToDate>
  <CharactersWithSpaces>20505</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2019-03-07T06:50:52Z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