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880" w:firstLineChars="20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鹿泉区司法局</w:t>
      </w:r>
      <w:r>
        <w:rPr>
          <w:rFonts w:hint="eastAsia" w:ascii="方正小标宋简体" w:hAnsi="方正小标宋简体" w:eastAsia="方正小标宋简体" w:cs="方正小标宋简体"/>
          <w:sz w:val="44"/>
          <w:szCs w:val="44"/>
        </w:rPr>
        <w:t>201</w:t>
      </w:r>
      <w:r>
        <w:rPr>
          <w:rFonts w:hint="eastAsia" w:ascii="方正小标宋简体" w:hAnsi="方正小标宋简体" w:eastAsia="方正小标宋简体" w:cs="方正小标宋简体"/>
          <w:sz w:val="44"/>
          <w:szCs w:val="44"/>
        </w:rPr>
        <w:t>9</w:t>
      </w:r>
      <w:r>
        <w:rPr>
          <w:rFonts w:hint="eastAsia" w:ascii="方正小标宋简体" w:hAnsi="方正小标宋简体" w:eastAsia="方正小标宋简体" w:cs="方正小标宋简体"/>
          <w:sz w:val="44"/>
          <w:szCs w:val="44"/>
        </w:rPr>
        <w:t>年部门预算信息公开</w:t>
      </w:r>
      <w:r>
        <w:rPr>
          <w:rFonts w:hint="eastAsia" w:ascii="方正小标宋简体" w:hAnsi="方正小标宋简体" w:eastAsia="方正小标宋简体" w:cs="方正小标宋简体"/>
          <w:sz w:val="44"/>
          <w:szCs w:val="44"/>
        </w:rPr>
        <w:t>情况说明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按照《预算法》、《地方预决算公开操作规程》和《河北省省级预算公开办法》规定，现将鹿泉区司法局2019年部门预算公开如下：</w:t>
      </w:r>
    </w:p>
    <w:p>
      <w:pPr>
        <w:ind w:firstLine="640"/>
        <w:rPr>
          <w:rFonts w:ascii="黑体" w:hAnsi="黑体" w:eastAsia="黑体" w:cs="Times New Roman"/>
          <w:sz w:val="32"/>
          <w:szCs w:val="32"/>
        </w:rPr>
      </w:pPr>
      <w:r>
        <w:rPr>
          <w:rFonts w:hint="eastAsia" w:ascii="黑体" w:hAnsi="黑体" w:eastAsia="黑体" w:cs="Times New Roman"/>
          <w:sz w:val="32"/>
          <w:szCs w:val="32"/>
        </w:rPr>
        <w:t>一、部门职责及机构设置情况</w:t>
      </w:r>
    </w:p>
    <w:p>
      <w:pPr>
        <w:ind w:firstLine="641" w:firstLineChars="200"/>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部门</w:t>
      </w:r>
      <w:r>
        <w:rPr>
          <w:rFonts w:ascii="Times New Roman" w:hAnsi="Times New Roman" w:eastAsia="方正仿宋_GBK" w:cs="Times New Roman"/>
          <w:b/>
          <w:sz w:val="32"/>
          <w:szCs w:val="32"/>
        </w:rPr>
        <w:t>职责：</w:t>
      </w:r>
    </w:p>
    <w:p>
      <w:pPr>
        <w:widowControl/>
        <w:spacing w:before="100" w:beforeAutospacing="1" w:after="100" w:afterAutospacing="1" w:line="600" w:lineRule="atLeast"/>
        <w:ind w:firstLine="64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32"/>
          <w:szCs w:val="32"/>
        </w:rPr>
        <w:t>石家庄市鹿泉区司法局属于石家庄市鹿泉区人民政府职能部门，主要职能：</w:t>
      </w:r>
    </w:p>
    <w:p>
      <w:pPr>
        <w:widowControl/>
        <w:spacing w:before="100" w:beforeAutospacing="1" w:after="100" w:afterAutospacing="1" w:line="600" w:lineRule="atLeast"/>
        <w:ind w:firstLine="64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32"/>
          <w:szCs w:val="32"/>
        </w:rPr>
        <w:t>一是贯彻执行司法行政工作的法律、法规、方针、政策和司法行政地方性法规、规章；拟订全区司法行政工作发展规划及年度计划并组织监督实施。</w:t>
      </w:r>
    </w:p>
    <w:p>
      <w:pPr>
        <w:widowControl/>
        <w:spacing w:before="100" w:beforeAutospacing="1" w:after="100" w:afterAutospacing="1" w:line="600" w:lineRule="atLeast"/>
        <w:ind w:firstLine="64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32"/>
          <w:szCs w:val="32"/>
        </w:rPr>
        <w:t>二是制定全区普及法律常识规划和法治宣传教育计划并组织实施，指导区级各行业、区属各部门及乡镇（街道）的法治宣传工作。</w:t>
      </w:r>
    </w:p>
    <w:p>
      <w:pPr>
        <w:widowControl/>
        <w:spacing w:before="100" w:beforeAutospacing="1" w:after="100" w:afterAutospacing="1" w:line="600" w:lineRule="atLeast"/>
        <w:ind w:firstLine="64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32"/>
          <w:szCs w:val="32"/>
        </w:rPr>
        <w:t>三是负责指导监督律师工作、公证工作并承担相应责任，监督全区律师机构、公证机构活动；指导监督企事业法律顾问工作。</w:t>
      </w:r>
    </w:p>
    <w:p>
      <w:pPr>
        <w:widowControl/>
        <w:spacing w:before="100" w:beforeAutospacing="1" w:after="100" w:afterAutospacing="1" w:line="600" w:lineRule="atLeast"/>
        <w:ind w:firstLine="64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32"/>
          <w:szCs w:val="32"/>
        </w:rPr>
        <w:t>四是监督管理全区法律援助工作。</w:t>
      </w:r>
    </w:p>
    <w:p>
      <w:pPr>
        <w:widowControl/>
        <w:spacing w:before="100" w:beforeAutospacing="1" w:after="100" w:afterAutospacing="1" w:line="600" w:lineRule="atLeast"/>
        <w:ind w:firstLine="64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32"/>
          <w:szCs w:val="32"/>
        </w:rPr>
        <w:t>五是指导、监督、管理乡镇（街道）司法所建设和人民调解、基层法律服务、帮教安置工作。</w:t>
      </w:r>
    </w:p>
    <w:p>
      <w:pPr>
        <w:widowControl/>
        <w:spacing w:before="100" w:beforeAutospacing="1" w:after="100" w:afterAutospacing="1" w:line="600" w:lineRule="atLeast"/>
        <w:ind w:firstLine="64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32"/>
          <w:szCs w:val="32"/>
        </w:rPr>
        <w:t>六是指导管理全区社区矫正工作。</w:t>
      </w:r>
    </w:p>
    <w:p>
      <w:pPr>
        <w:widowControl/>
        <w:spacing w:before="100" w:beforeAutospacing="1" w:after="100" w:afterAutospacing="1" w:line="600" w:lineRule="atLeast"/>
        <w:ind w:firstLine="64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32"/>
          <w:szCs w:val="32"/>
        </w:rPr>
        <w:t>七是管理、监督、指导全县面向社会服务的司法鉴定工作。</w:t>
      </w:r>
    </w:p>
    <w:p>
      <w:pPr>
        <w:widowControl/>
        <w:spacing w:before="100" w:beforeAutospacing="1" w:after="100" w:afterAutospacing="1" w:line="600" w:lineRule="atLeast"/>
        <w:ind w:firstLine="64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32"/>
          <w:szCs w:val="32"/>
        </w:rPr>
        <w:t>八是负责全区司法行政系统的队伍建设、思想政治、对外宣传和交流工作。</w:t>
      </w:r>
    </w:p>
    <w:p>
      <w:pPr>
        <w:widowControl/>
        <w:spacing w:before="100" w:beforeAutospacing="1" w:after="100" w:afterAutospacing="1" w:line="600" w:lineRule="atLeast"/>
        <w:ind w:firstLine="64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32"/>
          <w:szCs w:val="32"/>
        </w:rPr>
        <w:t>九是承办区政府交办的其他事项。</w:t>
      </w:r>
    </w:p>
    <w:p>
      <w:pPr>
        <w:widowControl/>
        <w:spacing w:before="100" w:beforeAutospacing="1" w:after="100" w:afterAutospacing="1" w:line="600" w:lineRule="atLeast"/>
        <w:ind w:firstLine="57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3D3D3D"/>
          <w:kern w:val="0"/>
          <w:sz w:val="32"/>
          <w:szCs w:val="32"/>
        </w:rPr>
        <w:t>部门所属单位构成</w:t>
      </w:r>
    </w:p>
    <w:p>
      <w:pPr>
        <w:widowControl/>
        <w:spacing w:before="100" w:beforeAutospacing="1" w:after="100" w:afterAutospacing="1" w:line="600" w:lineRule="atLeast"/>
        <w:ind w:firstLine="645"/>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3D3D3D"/>
          <w:kern w:val="0"/>
          <w:sz w:val="32"/>
          <w:szCs w:val="32"/>
        </w:rPr>
        <w:t>石家庄市鹿泉区司法局为财政全额拨款一级预算单位，无下属单位。</w:t>
      </w:r>
    </w:p>
    <w:p>
      <w:pPr>
        <w:widowControl/>
        <w:spacing w:before="100" w:beforeAutospacing="1" w:after="100" w:afterAutospacing="1" w:line="600" w:lineRule="atLeast"/>
        <w:ind w:firstLine="645"/>
        <w:jc w:val="left"/>
        <w:rPr>
          <w:rFonts w:ascii="微软雅黑" w:hAnsi="微软雅黑" w:eastAsia="微软雅黑" w:cs="宋体"/>
          <w:color w:val="000000"/>
          <w:kern w:val="0"/>
          <w:sz w:val="24"/>
          <w:szCs w:val="24"/>
        </w:rPr>
      </w:pPr>
      <w:r>
        <w:rPr>
          <w:rFonts w:hint="eastAsia" w:ascii="仿宋_GB2312" w:hAnsi="仿宋_GB2312" w:eastAsia="仿宋_GB2312" w:cs="仿宋_GB2312"/>
          <w:color w:val="000000"/>
          <w:kern w:val="0"/>
          <w:sz w:val="32"/>
          <w:szCs w:val="32"/>
        </w:rPr>
        <w:t>设立基层科、宣传教育科、司法鉴定科、律师公证管理、法律援助中心等科室。</w:t>
      </w:r>
    </w:p>
    <w:p>
      <w:pPr>
        <w:autoSpaceDE w:val="0"/>
        <w:autoSpaceDN w:val="0"/>
        <w:adjustRightInd w:val="0"/>
        <w:ind w:left="198" w:firstLine="641" w:firstLineChars="200"/>
        <w:jc w:val="left"/>
        <w:rPr>
          <w:rFonts w:ascii="方正仿宋_GBK" w:hAnsi="Times New Roman" w:eastAsia="方正仿宋_GBK" w:cs="Times New Roman"/>
          <w:b/>
          <w:sz w:val="32"/>
          <w:szCs w:val="32"/>
        </w:rPr>
      </w:pPr>
      <w:r>
        <w:rPr>
          <w:rFonts w:hint="eastAsia" w:ascii="方正仿宋_GBK" w:hAnsi="Times New Roman" w:eastAsia="方正仿宋_GBK" w:cs="Times New Roman"/>
          <w:b/>
          <w:sz w:val="32"/>
          <w:szCs w:val="32"/>
        </w:rPr>
        <w:t>机构设置：</w:t>
      </w:r>
    </w:p>
    <w:p>
      <w:pPr>
        <w:jc w:val="center"/>
        <w:outlineLvl w:val="0"/>
        <w:rPr>
          <w:rFonts w:ascii="Times New Roman" w:hAnsi="Times New Roman" w:eastAsia="方正小标宋_GBK" w:cs="Times New Roman"/>
          <w:sz w:val="32"/>
          <w:szCs w:val="24"/>
        </w:rPr>
      </w:pPr>
      <w:r>
        <w:rPr>
          <w:rFonts w:ascii="Times New Roman" w:hAnsi="Times New Roman" w:eastAsia="方正小标宋_GBK" w:cs="Times New Roman"/>
          <w:sz w:val="32"/>
          <w:szCs w:val="24"/>
        </w:rPr>
        <w:t>部门</w:t>
      </w:r>
      <w:r>
        <w:rPr>
          <w:rFonts w:hint="eastAsia" w:ascii="Times New Roman" w:hAnsi="Times New Roman" w:eastAsia="方正小标宋_GBK" w:cs="Times New Roman"/>
          <w:sz w:val="32"/>
          <w:szCs w:val="24"/>
        </w:rPr>
        <w:t>机构设置情况</w:t>
      </w:r>
    </w:p>
    <w:tbl>
      <w:tblPr>
        <w:tblStyle w:val="12"/>
        <w:tblW w:w="9782" w:type="dxa"/>
        <w:jc w:val="center"/>
        <w:tblInd w:w="-5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359"/>
        <w:gridCol w:w="1134"/>
        <w:gridCol w:w="1276"/>
        <w:gridCol w:w="301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0" w:hRule="atLeast"/>
          <w:tblHeader/>
          <w:jc w:val="center"/>
        </w:trPr>
        <w:tc>
          <w:tcPr>
            <w:tcW w:w="4359" w:type="dxa"/>
            <w:vMerge w:val="restart"/>
            <w:vAlign w:val="center"/>
          </w:tcPr>
          <w:p>
            <w:pPr>
              <w:spacing w:line="300" w:lineRule="exact"/>
              <w:jc w:val="center"/>
              <w:rPr>
                <w:rFonts w:ascii="方正书宋_GBK" w:eastAsia="方正书宋_GBK"/>
                <w:b/>
              </w:rPr>
            </w:pPr>
            <w:r>
              <w:rPr>
                <w:rFonts w:hint="eastAsia" w:ascii="方正书宋_GBK" w:eastAsia="方正书宋_GBK"/>
                <w:b/>
              </w:rPr>
              <w:t>单位名称</w:t>
            </w:r>
          </w:p>
        </w:tc>
        <w:tc>
          <w:tcPr>
            <w:tcW w:w="1134" w:type="dxa"/>
            <w:vMerge w:val="restart"/>
            <w:vAlign w:val="center"/>
          </w:tcPr>
          <w:p>
            <w:pPr>
              <w:spacing w:line="300" w:lineRule="exact"/>
              <w:jc w:val="center"/>
              <w:rPr>
                <w:rFonts w:ascii="方正书宋_GBK" w:eastAsia="方正书宋_GBK"/>
                <w:b/>
              </w:rPr>
            </w:pPr>
            <w:r>
              <w:rPr>
                <w:rFonts w:hint="eastAsia" w:ascii="方正书宋_GBK" w:eastAsia="方正书宋_GBK"/>
                <w:b/>
              </w:rPr>
              <w:t>单位性质</w:t>
            </w:r>
          </w:p>
        </w:tc>
        <w:tc>
          <w:tcPr>
            <w:tcW w:w="1276" w:type="dxa"/>
            <w:vMerge w:val="restart"/>
            <w:vAlign w:val="center"/>
          </w:tcPr>
          <w:p>
            <w:pPr>
              <w:spacing w:line="300" w:lineRule="exact"/>
              <w:jc w:val="center"/>
              <w:rPr>
                <w:rFonts w:ascii="方正书宋_GBK" w:eastAsia="方正书宋_GBK"/>
                <w:b/>
              </w:rPr>
            </w:pPr>
            <w:r>
              <w:rPr>
                <w:rFonts w:hint="eastAsia" w:ascii="方正书宋_GBK" w:eastAsia="方正书宋_GBK"/>
                <w:b/>
              </w:rPr>
              <w:t>单位规格</w:t>
            </w:r>
          </w:p>
        </w:tc>
        <w:tc>
          <w:tcPr>
            <w:tcW w:w="3013" w:type="dxa"/>
            <w:vMerge w:val="restart"/>
            <w:vAlign w:val="center"/>
          </w:tcPr>
          <w:p>
            <w:pPr>
              <w:spacing w:line="300" w:lineRule="exact"/>
              <w:jc w:val="center"/>
              <w:rPr>
                <w:rFonts w:ascii="方正书宋_GBK" w:eastAsia="方正书宋_GBK"/>
                <w:b/>
              </w:rPr>
            </w:pPr>
            <w:r>
              <w:rPr>
                <w:rFonts w:hint="eastAsia" w:ascii="方正书宋_GBK" w:eastAsia="方正书宋_GBK"/>
                <w:b/>
              </w:rP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0" w:hRule="atLeast"/>
          <w:tblHeader/>
          <w:jc w:val="center"/>
        </w:trPr>
        <w:tc>
          <w:tcPr>
            <w:tcW w:w="4359" w:type="dxa"/>
            <w:vMerge w:val="continue"/>
            <w:vAlign w:val="center"/>
          </w:tcPr>
          <w:p>
            <w:pPr>
              <w:spacing w:line="300" w:lineRule="exact"/>
              <w:jc w:val="left"/>
              <w:outlineLvl w:val="0"/>
            </w:pPr>
          </w:p>
        </w:tc>
        <w:tc>
          <w:tcPr>
            <w:tcW w:w="1134" w:type="dxa"/>
            <w:vMerge w:val="continue"/>
            <w:vAlign w:val="center"/>
          </w:tcPr>
          <w:p>
            <w:pPr>
              <w:spacing w:line="300" w:lineRule="exact"/>
              <w:jc w:val="left"/>
              <w:outlineLvl w:val="0"/>
            </w:pPr>
          </w:p>
        </w:tc>
        <w:tc>
          <w:tcPr>
            <w:tcW w:w="1276" w:type="dxa"/>
            <w:vMerge w:val="continue"/>
            <w:vAlign w:val="center"/>
          </w:tcPr>
          <w:p>
            <w:pPr>
              <w:spacing w:line="300" w:lineRule="exact"/>
              <w:jc w:val="left"/>
              <w:outlineLvl w:val="0"/>
            </w:pPr>
          </w:p>
        </w:tc>
        <w:tc>
          <w:tcPr>
            <w:tcW w:w="3013" w:type="dxa"/>
            <w:vMerge w:val="continue"/>
            <w:vAlign w:val="center"/>
          </w:tcPr>
          <w:p>
            <w:pPr>
              <w:spacing w:line="300" w:lineRule="exact"/>
              <w:jc w:val="left"/>
              <w:outlineLvl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jc w:val="center"/>
        </w:trPr>
        <w:tc>
          <w:tcPr>
            <w:tcW w:w="4359" w:type="dxa"/>
            <w:vAlign w:val="center"/>
          </w:tcPr>
          <w:p>
            <w:pPr>
              <w:spacing w:line="300" w:lineRule="exact"/>
              <w:jc w:val="center"/>
              <w:rPr>
                <w:rFonts w:ascii="方正书宋_GBK" w:eastAsia="方正书宋_GBK"/>
                <w:b/>
              </w:rPr>
            </w:pPr>
            <w:r>
              <w:rPr>
                <w:rFonts w:hint="eastAsia" w:ascii="方正书宋_GBK" w:eastAsia="方正书宋_GBK"/>
                <w:b/>
              </w:rPr>
              <w:t>石家庄市鹿泉区司法局</w:t>
            </w:r>
          </w:p>
        </w:tc>
        <w:tc>
          <w:tcPr>
            <w:tcW w:w="1134" w:type="dxa"/>
            <w:vAlign w:val="center"/>
          </w:tcPr>
          <w:p>
            <w:pPr>
              <w:spacing w:line="300" w:lineRule="exact"/>
              <w:jc w:val="center"/>
              <w:rPr>
                <w:rFonts w:ascii="方正书宋_GBK" w:eastAsia="方正书宋_GBK"/>
                <w:b/>
              </w:rPr>
            </w:pPr>
            <w:r>
              <w:rPr>
                <w:rFonts w:hint="eastAsia" w:ascii="方正书宋_GBK" w:eastAsia="方正书宋_GBK"/>
                <w:b/>
              </w:rPr>
              <w:t>现在</w:t>
            </w:r>
          </w:p>
        </w:tc>
        <w:tc>
          <w:tcPr>
            <w:tcW w:w="1276" w:type="dxa"/>
            <w:vAlign w:val="center"/>
          </w:tcPr>
          <w:p>
            <w:pPr>
              <w:spacing w:line="300" w:lineRule="exact"/>
              <w:jc w:val="center"/>
              <w:rPr>
                <w:rFonts w:ascii="方正书宋_GBK" w:eastAsia="方正书宋_GBK"/>
                <w:b/>
              </w:rPr>
            </w:pPr>
            <w:r>
              <w:rPr>
                <w:rFonts w:hint="eastAsia" w:ascii="方正书宋_GBK" w:eastAsia="方正书宋_GBK"/>
                <w:b/>
              </w:rPr>
              <w:t>正科</w:t>
            </w:r>
          </w:p>
        </w:tc>
        <w:tc>
          <w:tcPr>
            <w:tcW w:w="3013" w:type="dxa"/>
            <w:vAlign w:val="center"/>
          </w:tcPr>
          <w:p>
            <w:pPr>
              <w:spacing w:line="300" w:lineRule="exact"/>
              <w:jc w:val="center"/>
              <w:rPr>
                <w:rFonts w:ascii="方正书宋_GBK" w:eastAsia="方正书宋_GBK"/>
                <w:b/>
              </w:rPr>
            </w:pPr>
            <w:r>
              <w:rPr>
                <w:rFonts w:hint="eastAsia" w:ascii="方正书宋_GBK" w:eastAsia="方正书宋_GBK"/>
                <w:b/>
              </w:rPr>
              <w:t>财政拨款</w:t>
            </w:r>
          </w:p>
        </w:tc>
      </w:tr>
    </w:tbl>
    <w:p>
      <w:pPr>
        <w:ind w:firstLine="640"/>
        <w:rPr>
          <w:rFonts w:ascii="黑体" w:hAnsi="黑体" w:eastAsia="黑体" w:cs="Times New Roman"/>
          <w:sz w:val="32"/>
          <w:szCs w:val="32"/>
        </w:rPr>
      </w:pPr>
      <w:r>
        <w:rPr>
          <w:rFonts w:hint="eastAsia" w:ascii="黑体" w:hAnsi="黑体" w:eastAsia="黑体" w:cs="Times New Roman"/>
          <w:sz w:val="32"/>
          <w:szCs w:val="32"/>
        </w:rPr>
        <w:t>二、部门预算安排的总体情况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按照预算管理有关规定，目前我单位部门预算的编制实行综合预算管理，即全部收入和支出都反映在预算中。</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1、收入说明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反映本部门当年全部收入。2019年预算收入737.32万元，其中：一般公共预算收入737.32万元，基金预算收入0万元，财政专户核拨收入0万元，其他来源收入0万元。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2、支出说明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收支预算总表支出栏、基本支出表、项目支出表按经济分类和支出功能分类科目编制，反映年度部门预算中支出预算的总体情况。2019年支出预算737.32万元，其中基本支出571.32万元，包括人员经费497.6万元和日常公用经费73.72万元；项目支出166万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3、比上年增减情况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2019年预算收支安排737.32万元，较2018年预算增加89.4万元，其中：基本支出减少49.18万元，主要为减少日常公用经费支出；项目支出增加40.2万元，主要增加为诉调对接工作经费和人民调解工作经费。</w:t>
      </w:r>
    </w:p>
    <w:p>
      <w:pPr>
        <w:autoSpaceDE w:val="0"/>
        <w:autoSpaceDN w:val="0"/>
        <w:adjustRightInd w:val="0"/>
        <w:ind w:left="198" w:firstLine="640" w:firstLineChars="200"/>
        <w:jc w:val="left"/>
        <w:rPr>
          <w:rFonts w:hint="eastAsia" w:ascii="黑体" w:hAnsi="黑体" w:eastAsia="黑体" w:cs="Times New Roman"/>
          <w:sz w:val="32"/>
          <w:szCs w:val="32"/>
        </w:rPr>
      </w:pP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三、机关运行经费安排情况</w:t>
      </w:r>
    </w:p>
    <w:p>
      <w:pPr>
        <w:ind w:firstLine="640" w:firstLineChars="200"/>
        <w:rPr>
          <w:rFonts w:ascii="仿宋" w:hAnsi="仿宋" w:eastAsia="仿宋" w:cs="仿宋"/>
          <w:sz w:val="32"/>
          <w:szCs w:val="32"/>
        </w:rPr>
      </w:pPr>
      <w:r>
        <w:rPr>
          <w:rFonts w:hint="eastAsia" w:ascii="仿宋_GB2312" w:hAnsi="仿宋_GB2312" w:eastAsia="仿宋_GB2312" w:cs="仿宋_GB2312"/>
          <w:sz w:val="32"/>
          <w:szCs w:val="32"/>
        </w:rPr>
        <w:t>2019年，我局运行经费共计安排73.72万元，主要用于办公用房水电费、办公用房取暖费、办公用房物业管理费等日常运行支出。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四、财政拨款</w:t>
      </w:r>
      <w:r>
        <w:rPr>
          <w:rFonts w:ascii="黑体" w:hAnsi="黑体" w:eastAsia="黑体" w:cs="Times New Roman"/>
          <w:sz w:val="32"/>
          <w:szCs w:val="32"/>
        </w:rPr>
        <w:t>“</w:t>
      </w:r>
      <w:r>
        <w:rPr>
          <w:rFonts w:hint="eastAsia" w:ascii="黑体" w:hAnsi="黑体" w:eastAsia="黑体" w:cs="Times New Roman"/>
          <w:sz w:val="32"/>
          <w:szCs w:val="32"/>
        </w:rPr>
        <w:t>三公</w:t>
      </w:r>
      <w:r>
        <w:rPr>
          <w:rFonts w:ascii="黑体" w:hAnsi="黑体" w:eastAsia="黑体" w:cs="Times New Roman"/>
          <w:sz w:val="32"/>
          <w:szCs w:val="32"/>
        </w:rPr>
        <w:t>”</w:t>
      </w:r>
      <w:r>
        <w:rPr>
          <w:rFonts w:hint="eastAsia" w:ascii="黑体" w:hAnsi="黑体" w:eastAsia="黑体" w:cs="Times New Roman"/>
          <w:sz w:val="32"/>
          <w:szCs w:val="32"/>
        </w:rPr>
        <w:t>经费预算情况及增减变化原因</w:t>
      </w:r>
    </w:p>
    <w:p>
      <w:pPr>
        <w:ind w:firstLine="640" w:firstLineChars="200"/>
        <w:rPr>
          <w:rFonts w:hint="eastAsia" w:ascii="仿宋_GB2312" w:hAnsi="仿宋_GB2312" w:eastAsia="仿宋_GB2312" w:cs="仿宋_GB2312"/>
          <w:sz w:val="32"/>
          <w:szCs w:val="32"/>
        </w:rPr>
      </w:pPr>
      <w:r>
        <w:rPr>
          <w:rFonts w:hint="eastAsia" w:ascii="仿宋" w:hAnsi="仿宋" w:eastAsia="仿宋" w:cs="仿宋"/>
          <w:sz w:val="32"/>
          <w:szCs w:val="32"/>
        </w:rPr>
        <w:t>2</w:t>
      </w:r>
      <w:r>
        <w:rPr>
          <w:rFonts w:hint="eastAsia" w:ascii="仿宋_GB2312" w:hAnsi="仿宋_GB2312" w:eastAsia="仿宋_GB2312" w:cs="仿宋_GB2312"/>
          <w:sz w:val="32"/>
          <w:szCs w:val="32"/>
        </w:rPr>
        <w:t>019年，局财政拨款“三公”经费预算安排15.5万元，其中因公出国（境）费0万元；公务用车购置及运维费13.5万元（其中：公务用车购置费为0万元，公务用车运维费13.5万元)；公务接待费2万元。与2018年相比减少2万元，减少的主要原因是：公务接待费减少。</w:t>
      </w:r>
    </w:p>
    <w:p>
      <w:pPr>
        <w:ind w:firstLine="640"/>
        <w:rPr>
          <w:rFonts w:ascii="黑体" w:hAnsi="黑体" w:eastAsia="黑体" w:cs="Times New Roman"/>
          <w:sz w:val="32"/>
          <w:szCs w:val="32"/>
        </w:rPr>
      </w:pPr>
      <w:r>
        <w:rPr>
          <w:rFonts w:hint="eastAsia" w:ascii="黑体" w:hAnsi="黑体" w:eastAsia="黑体" w:cs="Times New Roman"/>
          <w:sz w:val="32"/>
          <w:szCs w:val="32"/>
        </w:rPr>
        <w:t>五、绩效预算信息</w:t>
      </w:r>
    </w:p>
    <w:p>
      <w:pPr>
        <w:ind w:firstLine="641" w:firstLineChars="200"/>
        <w:jc w:val="left"/>
        <w:rPr>
          <w:rFonts w:ascii="Times New Roman" w:hAnsi="Times New Roman" w:eastAsia="方正仿宋_GBK" w:cs="Times New Roman"/>
          <w:b/>
          <w:sz w:val="32"/>
          <w:szCs w:val="32"/>
        </w:rPr>
      </w:pPr>
      <w:bookmarkStart w:id="0" w:name="_Toc471398463"/>
      <w:r>
        <w:rPr>
          <w:rFonts w:ascii="Times New Roman" w:hAnsi="Times New Roman" w:eastAsia="方正仿宋_GBK" w:cs="Times New Roman"/>
          <w:b/>
          <w:sz w:val="32"/>
          <w:szCs w:val="32"/>
        </w:rPr>
        <w:t>总体绩效目标：</w:t>
      </w:r>
    </w:p>
    <w:p>
      <w:pPr>
        <w:spacing w:before="100" w:beforeAutospacing="1" w:after="100" w:afterAutospacing="1" w:line="360" w:lineRule="atLeas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2019年，坚持以习近平新时代中国特色社会主义思想为指导，认真落实中央和省委省政府决策部署：</w:t>
      </w:r>
    </w:p>
    <w:p>
      <w:pPr>
        <w:spacing w:before="100" w:beforeAutospacing="1" w:after="100" w:afterAutospacing="1" w:line="360" w:lineRule="atLeast"/>
        <w:ind w:firstLine="640"/>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32"/>
          <w:szCs w:val="32"/>
        </w:rPr>
        <w:t>1、拟订区级法制宣传教育规划并组织实施；指导区级法制宣传、依法治理工作；组织、指导法制宣传报道。</w:t>
      </w:r>
    </w:p>
    <w:p>
      <w:pPr>
        <w:widowControl/>
        <w:spacing w:before="100" w:beforeAutospacing="1" w:after="100" w:afterAutospacing="1" w:line="360" w:lineRule="atLeast"/>
        <w:ind w:firstLine="64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32"/>
          <w:szCs w:val="32"/>
        </w:rPr>
        <w:t>2、监督区级社区矫正、人民调解、安置帮教、基层法律服务和基层司法所工作，负责区级基层法律服务工作者执业核准；会同人民法院指导人民陪审员工作；指导人民调解员协会工作。</w:t>
      </w:r>
    </w:p>
    <w:p>
      <w:pPr>
        <w:widowControl/>
        <w:spacing w:before="100" w:beforeAutospacing="1" w:after="100" w:afterAutospacing="1" w:line="360" w:lineRule="atLeast"/>
        <w:ind w:firstLine="64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32"/>
          <w:szCs w:val="32"/>
        </w:rPr>
        <w:t>3、检查法律援助的法律法规和政策的执行；规划法律援助事业发展布局；监督管理区级法律援助机构和法律援助从业人员；组织指导区级社会组织和志愿者开展法律援助工作；办理法律援助案件，政府购买法律援助服务。</w:t>
      </w:r>
    </w:p>
    <w:p>
      <w:pPr>
        <w:widowControl/>
        <w:spacing w:before="100" w:beforeAutospacing="1" w:after="100" w:afterAutospacing="1" w:line="360" w:lineRule="atLeast"/>
        <w:ind w:firstLine="64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拟定区级司法鉴定管理规定和技术规范；完成县级司法鉴定人和司法鉴定机构登记管理工作；负责县级司法鉴定机构的遴选和管理工作；指导面向社会的司法鉴定资质管理、质量管理和司法鉴定人继续教育培训。</w:t>
      </w:r>
    </w:p>
    <w:p>
      <w:pPr>
        <w:jc w:val="left"/>
        <w:rPr>
          <w:rFonts w:hint="eastAsia" w:ascii="Times New Roman" w:hAnsi="Times New Roman" w:eastAsia="方正仿宋_GBK" w:cs="Times New Roman"/>
          <w:b/>
          <w:sz w:val="32"/>
          <w:szCs w:val="32"/>
        </w:rPr>
      </w:pPr>
      <w:r>
        <w:rPr>
          <w:rFonts w:hint="eastAsia" w:ascii="Times New Roman" w:hAnsi="Times New Roman" w:eastAsia="方正仿宋_GBK" w:cs="Times New Roman"/>
          <w:b/>
          <w:sz w:val="32"/>
          <w:szCs w:val="32"/>
          <w:lang w:val="en-US" w:eastAsia="zh-CN"/>
        </w:rPr>
        <w:t xml:space="preserve">   </w:t>
      </w:r>
      <w:r>
        <w:rPr>
          <w:rFonts w:hint="eastAsia" w:ascii="Times New Roman" w:hAnsi="Times New Roman" w:eastAsia="方正仿宋_GBK" w:cs="Times New Roman"/>
          <w:b/>
          <w:sz w:val="32"/>
          <w:szCs w:val="32"/>
        </w:rPr>
        <w:t>职责分类绩效目标：</w:t>
      </w:r>
    </w:p>
    <w:p>
      <w:pPr>
        <w:spacing w:line="500" w:lineRule="exact"/>
        <w:ind w:left="200" w:firstLine="560"/>
        <w:rPr>
          <w:rFonts w:hint="eastAsia" w:ascii="仿宋_GB2312" w:hAnsi="仿宋_GB2312" w:eastAsia="仿宋_GB2312" w:cs="仿宋_GB2312"/>
          <w:sz w:val="32"/>
          <w:szCs w:val="32"/>
        </w:rPr>
      </w:pPr>
      <w:r>
        <w:rPr>
          <w:rFonts w:hint="eastAsia" w:ascii="Times New Roman" w:hAnsi="Times New Roman" w:eastAsia="方正仿宋_GBK" w:cs="Times New Roman"/>
          <w:b/>
          <w:sz w:val="32"/>
          <w:szCs w:val="32"/>
          <w:lang w:val="en-US" w:eastAsia="zh-CN"/>
        </w:rPr>
        <w:t xml:space="preserve">  </w:t>
      </w:r>
      <w:r>
        <w:rPr>
          <w:rFonts w:hint="eastAsia" w:ascii="仿宋_GB2312" w:hAnsi="仿宋_GB2312" w:eastAsia="仿宋_GB2312" w:cs="仿宋_GB2312"/>
          <w:sz w:val="32"/>
          <w:szCs w:val="32"/>
        </w:rPr>
        <w:t>提高全区人民法律意识和法律素质，增强法治化管理水平，促进全县民主与法制建设。一、制定好普法规划，年度计划，搞好法学教育，并抓好落实工作；二、调查、掌握各部门、单位法制宣传教育工作实施情况；三、培训法制宣传教育骨干；四、会同有关部门对公务员和其他特定人员，进行法律知识的培训和考核（考试），并负责确定培训和考试内容；五、总结和推广法制宣传教育典型经验；六、配合综合治理，上好法制课和组织开展好法制宣传活动；七、总结和推广法制宣传教育典型经验；八、办理法制宣传教育的其他事项。</w:t>
      </w:r>
    </w:p>
    <w:p>
      <w:pPr>
        <w:spacing w:line="500" w:lineRule="exact"/>
        <w:ind w:left="200"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充分发挥法律服务职能，规范律师、公证行业管理。一、制订全市公证律师工作年度工作计划；</w:t>
      </w:r>
      <w:r>
        <w:rPr>
          <w:rFonts w:hint="eastAsia" w:ascii="仿宋_GB2312" w:hAnsi="仿宋_GB2312" w:eastAsia="仿宋_GB2312" w:cs="仿宋_GB2312"/>
          <w:sz w:val="32"/>
          <w:szCs w:val="32"/>
        </w:rPr>
        <w:br/>
      </w:r>
      <w:r>
        <w:rPr>
          <w:rFonts w:hint="eastAsia" w:ascii="仿宋_GB2312" w:hAnsi="仿宋_GB2312" w:eastAsia="仿宋_GB2312" w:cs="仿宋_GB2312"/>
          <w:sz w:val="32"/>
          <w:szCs w:val="32"/>
        </w:rPr>
        <w:t>二、管理和指导全市公证律师工作，监督全区公证律师机构和公证律师业务活动；三、组织年度公证律师质量检查，查处违规行为；四、受理公证员、律师违反职业道德、执业纪律和公证律师质量方面的投诉和查处。</w:t>
      </w:r>
    </w:p>
    <w:p>
      <w:pPr>
        <w:spacing w:line="500" w:lineRule="exact"/>
        <w:ind w:left="200"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深化人民调解、社区矫正和安置帮教工作，最大限度降低重新违法犯罪和社会不稳定因素发生率。一、制定实施司法行政基层工作规划；二、指导各乡镇司法所和基层司法行政工作，组织召开全市司法所长会议，交流信息，协调工作；三、建立健全调委会组织网络，指导人民调解委员会开展工作；四、开展民间纠纷排查治理工作；五、指导、管理基层法律服务所工作，负责法律服务人员的资格年度注册；六、负责并指导实施社区矫正工作。 </w:t>
      </w:r>
    </w:p>
    <w:p>
      <w:pPr>
        <w:spacing w:line="500" w:lineRule="exact"/>
        <w:ind w:left="200"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范司法鉴定机构和司法鉴定人的管理，提高司法鉴定人员素质，促进司法鉴定的公正、公平。一、制定本行政区域司法鉴定发展规划并组织实施;二、负责司法鉴定机构的审核登记、名册编制和名册公告工作;三、负责司法鉴定机构资质管理评估和司法鉴定质量管理评估工作;四、负责对司法鉴定机构进行监督、检查;五、负责对司法鉴定机构违法违纪的执业行为进行调查处理；六、组织司法鉴定科学技术开发、推广和应用;七、法律、法规和规章规定的其他职责。</w:t>
      </w:r>
    </w:p>
    <w:p>
      <w:pPr>
        <w:jc w:val="left"/>
        <w:rPr>
          <w:rFonts w:hint="eastAsia" w:ascii="Times New Roman" w:hAnsi="Times New Roman" w:eastAsia="方正仿宋_GBK" w:cs="Times New Roman"/>
          <w:b/>
          <w:sz w:val="32"/>
          <w:szCs w:val="32"/>
          <w:lang w:val="en-US" w:eastAsia="zh-CN"/>
        </w:rPr>
      </w:pPr>
    </w:p>
    <w:p>
      <w:pPr>
        <w:ind w:firstLine="640" w:firstLineChars="200"/>
        <w:rPr>
          <w:rFonts w:ascii="仿宋" w:hAnsi="仿宋" w:eastAsia="仿宋" w:cs="仿宋"/>
          <w:sz w:val="32"/>
          <w:szCs w:val="32"/>
        </w:rPr>
      </w:pPr>
    </w:p>
    <w:bookmarkEnd w:id="0"/>
    <w:p>
      <w:pPr>
        <w:jc w:val="center"/>
        <w:outlineLvl w:val="0"/>
        <w:rPr>
          <w:rFonts w:hint="eastAsia" w:ascii="方正小标宋_GBK" w:eastAsia="方正小标宋_GBK"/>
          <w:sz w:val="32"/>
        </w:rPr>
      </w:pPr>
      <w:bookmarkStart w:id="1" w:name="_Toc1736956"/>
    </w:p>
    <w:p>
      <w:pPr>
        <w:jc w:val="center"/>
        <w:outlineLvl w:val="0"/>
        <w:rPr>
          <w:rFonts w:ascii="方正小标宋_GBK" w:eastAsia="方正小标宋_GBK"/>
          <w:color w:val="FFFFFF"/>
          <w:sz w:val="32"/>
        </w:rPr>
      </w:pPr>
      <w:r>
        <w:rPr>
          <w:rFonts w:hint="eastAsia" w:ascii="方正小标宋_GBK" w:eastAsia="方正小标宋_GBK"/>
          <w:sz w:val="32"/>
        </w:rPr>
        <w:t>部门职责-工作活动绩效目标</w:t>
      </w:r>
      <w:r>
        <w:rPr>
          <w:rStyle w:val="11"/>
          <w:rFonts w:ascii="方正小标宋_GBK" w:eastAsia="方正小标宋_GBK"/>
          <w:color w:val="FFFFFF"/>
          <w:sz w:val="32"/>
        </w:rPr>
        <w:footnoteReference w:id="0" w:customMarkFollows="1"/>
      </w:r>
      <w:r>
        <w:rPr>
          <w:rStyle w:val="11"/>
          <w:rFonts w:ascii="方正小标宋_GBK" w:eastAsia="方正小标宋_GBK"/>
          <w:color w:val="FFFFFF"/>
          <w:sz w:val="32"/>
        </w:rPr>
        <w:sym w:font="Symbol" w:char="F020"/>
      </w:r>
      <w:bookmarkEnd w:id="1"/>
    </w:p>
    <w:tbl>
      <w:tblPr>
        <w:tblStyle w:val="12"/>
        <w:tblW w:w="1393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vAlign w:val="center"/>
          </w:tcPr>
          <w:p>
            <w:pPr>
              <w:spacing w:line="300" w:lineRule="exact"/>
              <w:jc w:val="left"/>
              <w:rPr>
                <w:rFonts w:ascii="方正小标宋_GBK" w:eastAsia="方正小标宋_GBK"/>
                <w:sz w:val="24"/>
              </w:rPr>
            </w:pPr>
            <w:r>
              <w:rPr>
                <w:rFonts w:ascii="方正小标宋_GBK" w:eastAsia="方正小标宋_GBK"/>
                <w:sz w:val="24"/>
              </w:rPr>
              <w:t>315</w:t>
            </w:r>
            <w:r>
              <w:rPr>
                <w:rFonts w:hint="eastAsia" w:ascii="方正小标宋_GBK" w:eastAsia="方正小标宋_GBK"/>
                <w:sz w:val="24"/>
              </w:rPr>
              <w:t>石家庄市鹿泉区司法局</w:t>
            </w:r>
          </w:p>
        </w:tc>
        <w:tc>
          <w:tcPr>
            <w:tcW w:w="2948" w:type="dxa"/>
            <w:gridSpan w:val="4"/>
            <w:tcBorders>
              <w:top w:val="single" w:color="FFFFFF" w:sz="6" w:space="0"/>
              <w:left w:val="single" w:color="FFFFFF" w:sz="6" w:space="0"/>
              <w:right w:val="single" w:color="FFFFFF" w:sz="6" w:space="0"/>
            </w:tcBorders>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vAlign w:val="center"/>
          </w:tcPr>
          <w:p>
            <w:pPr>
              <w:spacing w:line="300" w:lineRule="exact"/>
              <w:jc w:val="left"/>
              <w:outlineLvl w:val="0"/>
            </w:pPr>
          </w:p>
        </w:tc>
        <w:tc>
          <w:tcPr>
            <w:tcW w:w="1276" w:type="dxa"/>
            <w:vMerge w:val="continue"/>
            <w:vAlign w:val="center"/>
          </w:tcPr>
          <w:p>
            <w:pPr>
              <w:spacing w:line="300" w:lineRule="exact"/>
              <w:jc w:val="left"/>
              <w:outlineLvl w:val="0"/>
            </w:pPr>
          </w:p>
        </w:tc>
        <w:tc>
          <w:tcPr>
            <w:tcW w:w="2976" w:type="dxa"/>
            <w:vMerge w:val="continue"/>
            <w:vAlign w:val="center"/>
          </w:tcPr>
          <w:p>
            <w:pPr>
              <w:spacing w:line="300" w:lineRule="exact"/>
              <w:jc w:val="left"/>
              <w:outlineLvl w:val="0"/>
            </w:pPr>
          </w:p>
        </w:tc>
        <w:tc>
          <w:tcPr>
            <w:tcW w:w="2976" w:type="dxa"/>
            <w:vMerge w:val="continue"/>
            <w:vAlign w:val="center"/>
          </w:tcPr>
          <w:p>
            <w:pPr>
              <w:spacing w:line="300" w:lineRule="exact"/>
              <w:jc w:val="left"/>
              <w:outlineLvl w:val="0"/>
            </w:pPr>
          </w:p>
        </w:tc>
        <w:tc>
          <w:tcPr>
            <w:tcW w:w="1417" w:type="dxa"/>
            <w:vMerge w:val="continue"/>
            <w:vAlign w:val="center"/>
          </w:tcPr>
          <w:p>
            <w:pPr>
              <w:spacing w:line="300" w:lineRule="exact"/>
              <w:jc w:val="left"/>
              <w:outlineLvl w:val="0"/>
            </w:pPr>
          </w:p>
        </w:tc>
        <w:tc>
          <w:tcPr>
            <w:tcW w:w="737" w:type="dxa"/>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一、司法行政管理</w:t>
            </w:r>
          </w:p>
        </w:tc>
        <w:tc>
          <w:tcPr>
            <w:tcW w:w="1276" w:type="dxa"/>
            <w:vAlign w:val="center"/>
          </w:tcPr>
          <w:p>
            <w:pPr>
              <w:spacing w:line="300" w:lineRule="exact"/>
              <w:jc w:val="left"/>
              <w:rPr>
                <w:rFonts w:ascii="方正书宋_GBK" w:eastAsia="方正书宋_GBK"/>
              </w:rPr>
            </w:pPr>
            <w:r>
              <w:rPr>
                <w:rFonts w:ascii="方正书宋_GBK" w:eastAsia="方正书宋_GBK"/>
              </w:rPr>
              <w:t>118.60</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贯彻落实国家司法行政工作方针政策；拟订有关规章，制定全县司法行政中长期规划并组织实施。</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提升全区司法行政管理水平</w:t>
            </w:r>
          </w:p>
        </w:tc>
        <w:tc>
          <w:tcPr>
            <w:tcW w:w="1417" w:type="dxa"/>
            <w:vAlign w:val="center"/>
          </w:tcPr>
          <w:p>
            <w:pPr>
              <w:spacing w:line="300" w:lineRule="exact"/>
              <w:jc w:val="left"/>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、普法宣传</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15.60</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组织全区</w:t>
            </w:r>
            <w:r>
              <w:rPr>
                <w:rFonts w:hint="cs" w:ascii="方正书宋_GBK" w:eastAsia="方正书宋_GBK"/>
                <w:cs/>
              </w:rPr>
              <w:t>“</w:t>
            </w:r>
            <w:r>
              <w:rPr>
                <w:rFonts w:hint="eastAsia" w:ascii="方正书宋_GBK" w:eastAsia="方正书宋_GBK"/>
              </w:rPr>
              <w:t>七五</w:t>
            </w:r>
            <w:r>
              <w:rPr>
                <w:rFonts w:hint="cs" w:ascii="方正书宋_GBK" w:eastAsia="方正书宋_GBK"/>
                <w:cs/>
              </w:rPr>
              <w:t>”</w:t>
            </w:r>
            <w:r>
              <w:rPr>
                <w:rFonts w:hint="eastAsia" w:ascii="方正书宋_GBK" w:eastAsia="方正书宋_GBK"/>
              </w:rPr>
              <w:t>普法中期验收，并接受上级验收，组织开展多部门参与、声势大、群众满意的法治宣传咨询、法治培训等宣传活动，编印宣传资料册数达到年初目标，及时维护法治宣传栏（橱窗）</w:t>
            </w:r>
            <w:r>
              <w:rPr>
                <w:rFonts w:ascii="方正书宋_GBK" w:eastAsia="方正书宋_GBK"/>
              </w:rPr>
              <w:t>40</w:t>
            </w:r>
            <w:r>
              <w:rPr>
                <w:rFonts w:hint="eastAsia" w:ascii="方正书宋_GBK" w:eastAsia="方正书宋_GBK"/>
              </w:rPr>
              <w:t>个、</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提高全区人民法律意识和法律素质，增强法治化管理水平，促进全县民主与法制建设。</w:t>
            </w:r>
          </w:p>
        </w:tc>
        <w:tc>
          <w:tcPr>
            <w:tcW w:w="1417" w:type="dxa"/>
            <w:vAlign w:val="center"/>
          </w:tcPr>
          <w:p>
            <w:pPr>
              <w:spacing w:line="300" w:lineRule="exact"/>
              <w:jc w:val="left"/>
              <w:rPr>
                <w:rFonts w:ascii="方正书宋_GBK" w:eastAsia="方正书宋_GBK"/>
              </w:rPr>
            </w:pPr>
            <w:r>
              <w:rPr>
                <w:rFonts w:hint="eastAsia" w:ascii="方正书宋_GBK" w:eastAsia="方正书宋_GBK"/>
              </w:rPr>
              <w:t>组织主题宣传活动场次（次）</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w:t>
            </w:r>
          </w:p>
        </w:tc>
        <w:tc>
          <w:tcPr>
            <w:tcW w:w="737" w:type="dxa"/>
            <w:vAlign w:val="center"/>
          </w:tcPr>
          <w:p>
            <w:pPr>
              <w:spacing w:line="300" w:lineRule="exact"/>
              <w:jc w:val="center"/>
              <w:rPr>
                <w:rFonts w:ascii="方正书宋_GBK" w:eastAsia="方正书宋_GBK"/>
              </w:rPr>
            </w:pPr>
            <w:r>
              <w:rPr>
                <w:rFonts w:ascii="方正书宋_GBK" w:eastAsia="方正书宋_GBK"/>
              </w:rPr>
              <w:t>&lt;2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网络舆情处置率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ascii="方正书宋_GBK" w:eastAsia="方正书宋_GBK"/>
              </w:rPr>
            </w:pPr>
            <w:r>
              <w:rPr>
                <w:rFonts w:ascii="方正书宋_GBK" w:eastAsia="方正书宋_GBK"/>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宣资料引刷册数</w:t>
            </w:r>
            <w:r>
              <w:rPr>
                <w:rFonts w:ascii="方正书宋_GBK" w:eastAsia="方正书宋_GBK"/>
              </w:rPr>
              <w:t>(</w:t>
            </w:r>
            <w:r>
              <w:rPr>
                <w:rFonts w:hint="eastAsia" w:ascii="方正书宋_GBK" w:eastAsia="方正书宋_GBK"/>
              </w:rPr>
              <w:t>册）</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1800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1600</w:t>
            </w:r>
          </w:p>
        </w:tc>
        <w:tc>
          <w:tcPr>
            <w:tcW w:w="737" w:type="dxa"/>
            <w:vAlign w:val="center"/>
          </w:tcPr>
          <w:p>
            <w:pPr>
              <w:spacing w:line="300" w:lineRule="exact"/>
              <w:jc w:val="center"/>
              <w:rPr>
                <w:rFonts w:ascii="方正书宋_GBK" w:eastAsia="方正书宋_GBK"/>
              </w:rPr>
            </w:pPr>
            <w:r>
              <w:rPr>
                <w:rFonts w:ascii="方正书宋_GBK" w:eastAsia="方正书宋_GBK"/>
              </w:rPr>
              <w:t>&lt;1600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普法考试覆盖人数（次）</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普法考核通过率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vAlign w:val="center"/>
          </w:tcPr>
          <w:p>
            <w:pPr>
              <w:spacing w:line="300" w:lineRule="exact"/>
              <w:jc w:val="center"/>
              <w:rPr>
                <w:rFonts w:ascii="方正书宋_GBK" w:eastAsia="方正书宋_GBK"/>
              </w:rPr>
            </w:pPr>
            <w:r>
              <w:rPr>
                <w:rFonts w:ascii="方正书宋_GBK" w:eastAsia="方正书宋_GBK"/>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、律师公证管理</w:t>
            </w:r>
          </w:p>
        </w:tc>
        <w:tc>
          <w:tcPr>
            <w:tcW w:w="1276" w:type="dxa"/>
            <w:vMerge w:val="restart"/>
            <w:vAlign w:val="center"/>
          </w:tcPr>
          <w:p>
            <w:pPr>
              <w:spacing w:line="300" w:lineRule="exact"/>
              <w:jc w:val="left"/>
              <w:rPr>
                <w:rFonts w:ascii="方正书宋_GBK" w:eastAsia="方正书宋_GBK"/>
              </w:rPr>
            </w:pP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组织律师积极化解群体性涉法涉诉上访、信访案件。建立和完善了律师包乡镇、包重点村化解信访积案制度，律师通过调查、取证、劝说、代理，引导进入法律程序</w:t>
            </w:r>
            <w:r>
              <w:rPr>
                <w:rFonts w:ascii="方正书宋_GBK" w:eastAsia="方正书宋_GBK"/>
              </w:rPr>
              <w:t>.</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充分发挥法律服务职能，规范律师、公证行业管理。</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年检机构满意率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机构年检率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99%</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96%</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93%</w:t>
            </w:r>
          </w:p>
        </w:tc>
        <w:tc>
          <w:tcPr>
            <w:tcW w:w="737" w:type="dxa"/>
            <w:vAlign w:val="center"/>
          </w:tcPr>
          <w:p>
            <w:pPr>
              <w:spacing w:line="300" w:lineRule="exact"/>
              <w:jc w:val="center"/>
              <w:rPr>
                <w:rFonts w:ascii="方正书宋_GBK" w:eastAsia="方正书宋_GBK"/>
              </w:rPr>
            </w:pPr>
            <w:r>
              <w:rPr>
                <w:rFonts w:ascii="方正书宋_GBK" w:eastAsia="方正书宋_GBK"/>
              </w:rPr>
              <w:t>&lt;93%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提供法律咨询数量（宗）</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p>
        </w:tc>
        <w:tc>
          <w:tcPr>
            <w:tcW w:w="737" w:type="dxa"/>
            <w:vAlign w:val="center"/>
          </w:tcPr>
          <w:p>
            <w:pPr>
              <w:spacing w:line="300" w:lineRule="exact"/>
              <w:jc w:val="center"/>
              <w:rPr>
                <w:rFonts w:ascii="方正书宋_GBK" w:eastAsia="方正书宋_GBK"/>
              </w:rPr>
            </w:pPr>
            <w:r>
              <w:rPr>
                <w:rFonts w:ascii="方正书宋_GBK" w:eastAsia="方正书宋_GBK"/>
              </w:rPr>
              <w:t>&lt;40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、基层司法业务</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93.00</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人民调解员根据调解纠纷的性质、难易程度，把调解过程和调解经过形成案卷，经乡镇司法所审核后报司法局申领务工补助和</w:t>
            </w:r>
            <w:r>
              <w:rPr>
                <w:rFonts w:hint="cs" w:ascii="方正书宋_GBK" w:eastAsia="方正书宋_GBK"/>
                <w:cs/>
              </w:rPr>
              <w:t>“</w:t>
            </w:r>
            <w:r>
              <w:rPr>
                <w:rFonts w:hint="eastAsia" w:ascii="方正书宋_GBK" w:eastAsia="方正书宋_GBK"/>
              </w:rPr>
              <w:t>以案定补</w:t>
            </w:r>
            <w:r>
              <w:rPr>
                <w:rFonts w:hint="cs" w:ascii="方正书宋_GBK" w:eastAsia="方正书宋_GBK"/>
                <w:cs/>
              </w:rPr>
              <w:t>”</w:t>
            </w:r>
            <w:r>
              <w:rPr>
                <w:rFonts w:hint="eastAsia" w:ascii="方正书宋_GBK" w:eastAsia="方正书宋_GBK"/>
              </w:rPr>
              <w:t>，司法局对上报的调解案卷进行核实分类梳理、登记造册，按照人民调解补贴办法补贴。做好</w:t>
            </w:r>
            <w:r>
              <w:rPr>
                <w:rFonts w:ascii="方正书宋_GBK" w:eastAsia="方正书宋_GBK"/>
              </w:rPr>
              <w:t>350</w:t>
            </w:r>
            <w:r>
              <w:rPr>
                <w:rFonts w:hint="eastAsia" w:ascii="方正书宋_GBK" w:eastAsia="方正书宋_GBK"/>
              </w:rPr>
              <w:t>余名社区矫正服刑人员监管教育帮扶工作，采取审前调查、手机定位、手环定位、指纹识别、远程视频等技术进行监管、教育、训戒、心理辅导等工作，预防和减少社区服刑人员重新违法犯罪，维护社会和谐稳定。</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深化人民调解、社区矫正和安置帮教工作，最大限度降低重新违法犯罪和社会不稳定因素发生率</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人民调解案件数（件）</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100</w:t>
            </w:r>
          </w:p>
        </w:tc>
        <w:tc>
          <w:tcPr>
            <w:tcW w:w="737" w:type="dxa"/>
            <w:vAlign w:val="center"/>
          </w:tcPr>
          <w:p>
            <w:pPr>
              <w:spacing w:line="300" w:lineRule="exact"/>
              <w:jc w:val="center"/>
              <w:rPr>
                <w:rFonts w:ascii="方正书宋_GBK" w:eastAsia="方正书宋_GBK"/>
              </w:rPr>
            </w:pPr>
            <w:r>
              <w:rPr>
                <w:rFonts w:ascii="方正书宋_GBK" w:eastAsia="方正书宋_GBK"/>
              </w:rPr>
              <w:t>&lt;100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服刑人员信息核查率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vAlign w:val="center"/>
          </w:tcPr>
          <w:p>
            <w:pPr>
              <w:spacing w:line="300" w:lineRule="exact"/>
              <w:jc w:val="center"/>
              <w:rPr>
                <w:rFonts w:ascii="方正书宋_GBK" w:eastAsia="方正书宋_GBK"/>
              </w:rPr>
            </w:pPr>
            <w:r>
              <w:rPr>
                <w:rFonts w:ascii="方正书宋_GBK" w:eastAsia="方正书宋_GBK"/>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安置帮教衔接人数（人次）</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50</w:t>
            </w:r>
          </w:p>
        </w:tc>
        <w:tc>
          <w:tcPr>
            <w:tcW w:w="737" w:type="dxa"/>
            <w:vAlign w:val="center"/>
          </w:tcPr>
          <w:p>
            <w:pPr>
              <w:spacing w:line="300" w:lineRule="exact"/>
              <w:jc w:val="center"/>
              <w:rPr>
                <w:rFonts w:ascii="方正书宋_GBK" w:eastAsia="方正书宋_GBK"/>
              </w:rPr>
            </w:pPr>
            <w:r>
              <w:rPr>
                <w:rFonts w:ascii="方正书宋_GBK" w:eastAsia="方正书宋_GBK"/>
              </w:rPr>
              <w:t>&lt;50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社区矫正人数（人）</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350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250</w:t>
            </w:r>
          </w:p>
        </w:tc>
        <w:tc>
          <w:tcPr>
            <w:tcW w:w="737" w:type="dxa"/>
            <w:vAlign w:val="center"/>
          </w:tcPr>
          <w:p>
            <w:pPr>
              <w:spacing w:line="300" w:lineRule="exact"/>
              <w:jc w:val="center"/>
              <w:rPr>
                <w:rFonts w:ascii="方正书宋_GBK" w:eastAsia="方正书宋_GBK"/>
              </w:rPr>
            </w:pPr>
            <w:r>
              <w:rPr>
                <w:rFonts w:ascii="方正书宋_GBK" w:eastAsia="方正书宋_GBK"/>
              </w:rPr>
              <w:t>&lt;250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再犯罪减低率</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&lt;0.2%</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0.2%</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0.3%</w:t>
            </w:r>
          </w:p>
        </w:tc>
        <w:tc>
          <w:tcPr>
            <w:tcW w:w="737" w:type="dxa"/>
            <w:vAlign w:val="center"/>
          </w:tcPr>
          <w:p>
            <w:pPr>
              <w:spacing w:line="300" w:lineRule="exact"/>
              <w:jc w:val="center"/>
              <w:rPr>
                <w:rFonts w:ascii="方正书宋_GBK" w:eastAsia="方正书宋_GBK"/>
              </w:rPr>
            </w:pPr>
            <w:r>
              <w:rPr>
                <w:rFonts w:ascii="方正书宋_GBK" w:eastAsia="方正书宋_GBK"/>
              </w:rPr>
              <w:t>&gt;0.4%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、法律援助</w:t>
            </w:r>
          </w:p>
        </w:tc>
        <w:tc>
          <w:tcPr>
            <w:tcW w:w="1276" w:type="dxa"/>
            <w:vMerge w:val="restart"/>
            <w:vAlign w:val="center"/>
          </w:tcPr>
          <w:p>
            <w:pPr>
              <w:spacing w:line="300" w:lineRule="exact"/>
              <w:jc w:val="left"/>
              <w:rPr>
                <w:rFonts w:ascii="方正书宋_GBK" w:eastAsia="方正书宋_GBK"/>
              </w:rPr>
            </w:pPr>
            <w:r>
              <w:rPr>
                <w:rFonts w:ascii="方正书宋_GBK" w:eastAsia="方正书宋_GBK"/>
              </w:rPr>
              <w:t>10.00</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落实法律援助的法律法规和政策的执行；规划法律援助事业发展；管理区法律援助机构和法律援助从业人员；组织指导全区社会组织和志愿者开展法律援助工作；办理法律援助案件，政府购买法律援助服务；管理</w:t>
            </w:r>
            <w:r>
              <w:rPr>
                <w:rFonts w:hint="cs" w:ascii="方正书宋_GBK" w:eastAsia="方正书宋_GBK"/>
                <w:cs/>
              </w:rPr>
              <w:t>“</w:t>
            </w:r>
            <w:r>
              <w:rPr>
                <w:rFonts w:ascii="方正书宋_GBK" w:eastAsia="方正书宋_GBK"/>
              </w:rPr>
              <w:t>12350”</w:t>
            </w:r>
            <w:r>
              <w:rPr>
                <w:rFonts w:hint="eastAsia" w:ascii="方正书宋_GBK" w:eastAsia="方正书宋_GBK"/>
              </w:rPr>
              <w:t>法律援助专线；组织实施全区中央专项彩票公益金项目，开展法律援助理论研究等工作。扩大法律援助覆盖面，推动全区法律援助工作长足发展。按照</w:t>
            </w:r>
            <w:r>
              <w:rPr>
                <w:rFonts w:hint="cs" w:ascii="方正书宋_GBK" w:eastAsia="方正书宋_GBK"/>
                <w:cs/>
              </w:rPr>
              <w:t>“</w:t>
            </w:r>
            <w:r>
              <w:rPr>
                <w:rFonts w:hint="eastAsia" w:ascii="方正书宋_GBK" w:eastAsia="方正书宋_GBK"/>
              </w:rPr>
              <w:t>法律事务咨询、矛盾纠纷化解、困难群众维权、法律服务指引和提供</w:t>
            </w:r>
            <w:r>
              <w:rPr>
                <w:rFonts w:hint="cs" w:ascii="方正书宋_GBK" w:eastAsia="方正书宋_GBK"/>
                <w:cs/>
              </w:rPr>
              <w:t>”</w:t>
            </w:r>
            <w:r>
              <w:rPr>
                <w:rFonts w:hint="eastAsia" w:ascii="方正书宋_GBK" w:eastAsia="方正书宋_GBK"/>
              </w:rPr>
              <w:t>的平台建设功能定位，统筹整合公共法律服务资源，着力打造实体、热线和网络三大平台，实现公共法律服务的标准化、精准化、便捷化，最大限度地为人民群众提供普惠式、公益性、可选择的公共法律服务。</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扩大法律援助覆盖面，推动全区法律援助工作长足发展。</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法律援助案件办结率</w:t>
            </w:r>
          </w:p>
        </w:tc>
        <w:tc>
          <w:tcPr>
            <w:tcW w:w="737" w:type="dxa"/>
            <w:vAlign w:val="center"/>
          </w:tcPr>
          <w:p>
            <w:pPr>
              <w:spacing w:line="300" w:lineRule="exact"/>
              <w:jc w:val="center"/>
              <w:rPr>
                <w:rFonts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97%</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94%</w:t>
            </w:r>
          </w:p>
        </w:tc>
        <w:tc>
          <w:tcPr>
            <w:tcW w:w="737" w:type="dxa"/>
            <w:vAlign w:val="center"/>
          </w:tcPr>
          <w:p>
            <w:pPr>
              <w:spacing w:line="300" w:lineRule="exact"/>
              <w:jc w:val="center"/>
              <w:rPr>
                <w:rFonts w:ascii="方正书宋_GBK" w:eastAsia="方正书宋_GBK"/>
              </w:rPr>
            </w:pPr>
            <w:r>
              <w:rPr>
                <w:rFonts w:ascii="方正书宋_GBK" w:eastAsia="方正书宋_GBK"/>
              </w:rPr>
              <w:t>&lt;94%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办理法律援助案件数量（件）</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p>
        </w:tc>
        <w:tc>
          <w:tcPr>
            <w:tcW w:w="737" w:type="dxa"/>
            <w:vAlign w:val="center"/>
          </w:tcPr>
          <w:p>
            <w:pPr>
              <w:spacing w:line="300" w:lineRule="exact"/>
              <w:jc w:val="center"/>
              <w:rPr>
                <w:rFonts w:ascii="方正书宋_GBK" w:eastAsia="方正书宋_GBK"/>
              </w:rPr>
            </w:pPr>
            <w:r>
              <w:rPr>
                <w:rFonts w:ascii="方正书宋_GBK" w:eastAsia="方正书宋_GBK"/>
              </w:rPr>
              <w:t>&lt;30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印刷的法律援助宣传资料数量（册）</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800</w:t>
            </w:r>
          </w:p>
        </w:tc>
        <w:tc>
          <w:tcPr>
            <w:tcW w:w="737" w:type="dxa"/>
            <w:vAlign w:val="center"/>
          </w:tcPr>
          <w:p>
            <w:pPr>
              <w:spacing w:line="300" w:lineRule="exact"/>
              <w:jc w:val="center"/>
              <w:rPr>
                <w:rFonts w:ascii="方正书宋_GBK" w:eastAsia="方正书宋_GBK"/>
              </w:rPr>
            </w:pPr>
            <w:r>
              <w:rPr>
                <w:rFonts w:ascii="方正书宋_GBK" w:eastAsia="方正书宋_GBK"/>
              </w:rPr>
              <w:t>&lt;800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、司法鉴定</w:t>
            </w:r>
          </w:p>
        </w:tc>
        <w:tc>
          <w:tcPr>
            <w:tcW w:w="1276" w:type="dxa"/>
            <w:vMerge w:val="restart"/>
            <w:vAlign w:val="center"/>
          </w:tcPr>
          <w:p>
            <w:pPr>
              <w:spacing w:line="300" w:lineRule="exact"/>
              <w:jc w:val="left"/>
              <w:rPr>
                <w:rFonts w:ascii="方正书宋_GBK" w:eastAsia="方正书宋_GBK"/>
              </w:rPr>
            </w:pP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拟定全区司法鉴定管理规定和技术规范；完成全区司法鉴定人和司法鉴定机构登记管理工作；负责区司法鉴定机构的管理工作；开展面向社会的司法鉴定资质管理、质量管理和司法鉴定人继续教育培训。</w:t>
            </w:r>
          </w:p>
        </w:tc>
        <w:tc>
          <w:tcPr>
            <w:tcW w:w="2976" w:type="dxa"/>
            <w:vMerge w:val="restart"/>
            <w:vAlign w:val="center"/>
          </w:tcPr>
          <w:p>
            <w:pPr>
              <w:spacing w:line="300" w:lineRule="exact"/>
              <w:jc w:val="left"/>
              <w:rPr>
                <w:rFonts w:hint="eastAsia" w:ascii="方正书宋_GBK" w:eastAsia="方正书宋_GBK"/>
              </w:rPr>
            </w:pPr>
            <w:r>
              <w:rPr>
                <w:rFonts w:hint="eastAsia" w:ascii="方正书宋_GBK" w:eastAsia="方正书宋_GBK"/>
              </w:rPr>
              <w:t>规范司法鉴定机构和司法鉴定人的管理，提高司法鉴定人员素质，促进司法鉴定的公正、公平。</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司法鉴定培训人次</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r>
              <w:rPr>
                <w:rFonts w:hint="eastAsia" w:ascii="方正书宋_GBK" w:eastAsia="方正书宋_GBK"/>
              </w:rPr>
              <w:t>次</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r>
              <w:rPr>
                <w:rFonts w:hint="eastAsia" w:ascii="方正书宋_GBK" w:eastAsia="方正书宋_GBK"/>
              </w:rPr>
              <w:t>次</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r>
              <w:rPr>
                <w:rFonts w:hint="eastAsia" w:ascii="方正书宋_GBK" w:eastAsia="方正书宋_GBK"/>
              </w:rPr>
              <w:t>次</w:t>
            </w:r>
          </w:p>
        </w:tc>
        <w:tc>
          <w:tcPr>
            <w:tcW w:w="737" w:type="dxa"/>
            <w:vAlign w:val="center"/>
          </w:tcPr>
          <w:p>
            <w:pPr>
              <w:spacing w:line="300" w:lineRule="exact"/>
              <w:jc w:val="center"/>
              <w:rPr>
                <w:rFonts w:ascii="方正书宋_GBK" w:eastAsia="方正书宋_GBK"/>
              </w:rPr>
            </w:pPr>
            <w:r>
              <w:rPr>
                <w:rFonts w:ascii="方正书宋_GBK" w:eastAsia="方正书宋_GBK"/>
              </w:rPr>
              <w:t>&lt;1</w:t>
            </w:r>
            <w:r>
              <w:rPr>
                <w:rFonts w:hint="eastAsia" w:ascii="方正书宋_GBK" w:eastAsia="方正书宋_GBK"/>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司法鉴定培训人次</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14</w:t>
            </w:r>
            <w:r>
              <w:rPr>
                <w:rFonts w:hint="eastAsia" w:ascii="方正书宋_GBK" w:eastAsia="方正书宋_GBK"/>
              </w:rPr>
              <w:t>人</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人</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w:t>
            </w:r>
            <w:r>
              <w:rPr>
                <w:rFonts w:hint="eastAsia" w:ascii="方正书宋_GBK" w:eastAsia="方正书宋_GBK"/>
              </w:rPr>
              <w:t>人</w:t>
            </w:r>
          </w:p>
        </w:tc>
        <w:tc>
          <w:tcPr>
            <w:tcW w:w="737" w:type="dxa"/>
            <w:vAlign w:val="center"/>
          </w:tcPr>
          <w:p>
            <w:pPr>
              <w:spacing w:line="300" w:lineRule="exact"/>
              <w:jc w:val="center"/>
              <w:rPr>
                <w:rFonts w:ascii="方正书宋_GBK" w:eastAsia="方正书宋_GBK"/>
              </w:rPr>
            </w:pPr>
            <w:r>
              <w:rPr>
                <w:rFonts w:ascii="方正书宋_GBK" w:eastAsia="方正书宋_GBK"/>
              </w:rPr>
              <w:t>&lt;8</w:t>
            </w:r>
            <w:r>
              <w:rPr>
                <w:rFonts w:hint="eastAsia" w:ascii="方正书宋_GBK" w:eastAsia="方正书宋_GBK"/>
              </w:rPr>
              <w:t>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vAlign w:val="center"/>
          </w:tcPr>
          <w:p>
            <w:pPr>
              <w:spacing w:line="300" w:lineRule="exact"/>
              <w:jc w:val="left"/>
              <w:rPr>
                <w:rFonts w:hint="eastAsia" w:ascii="方正书宋_GBK" w:eastAsia="方正书宋_GBK"/>
                <w:b/>
              </w:rPr>
            </w:pPr>
          </w:p>
        </w:tc>
        <w:tc>
          <w:tcPr>
            <w:tcW w:w="1276" w:type="dxa"/>
            <w:vMerge w:val="continue"/>
            <w:vAlign w:val="center"/>
          </w:tcPr>
          <w:p>
            <w:pPr>
              <w:spacing w:line="300" w:lineRule="exact"/>
              <w:jc w:val="left"/>
              <w:rPr>
                <w:rFonts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2976" w:type="dxa"/>
            <w:vMerge w:val="continue"/>
            <w:vAlign w:val="center"/>
          </w:tcPr>
          <w:p>
            <w:pPr>
              <w:spacing w:line="300" w:lineRule="exact"/>
              <w:jc w:val="left"/>
              <w:rPr>
                <w:rFonts w:hint="eastAsia" w:ascii="方正书宋_GBK" w:eastAsia="方正书宋_GBK"/>
              </w:rPr>
            </w:pP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司法简定机构年检率</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98%</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二、司法政务管理</w:t>
            </w:r>
          </w:p>
        </w:tc>
        <w:tc>
          <w:tcPr>
            <w:tcW w:w="1276" w:type="dxa"/>
            <w:vAlign w:val="center"/>
          </w:tcPr>
          <w:p>
            <w:pPr>
              <w:spacing w:line="300" w:lineRule="exact"/>
              <w:jc w:val="left"/>
              <w:rPr>
                <w:rFonts w:ascii="方正书宋_GBK" w:eastAsia="方正书宋_GBK"/>
              </w:rPr>
            </w:pPr>
            <w:r>
              <w:rPr>
                <w:rFonts w:ascii="方正书宋_GBK" w:eastAsia="方正书宋_GBK"/>
              </w:rPr>
              <w:t>47.40</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负责机关综合业务管理和机关直属事业单位综合事务管理。</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促进司法系统执法能力全面提升</w:t>
            </w:r>
          </w:p>
        </w:tc>
        <w:tc>
          <w:tcPr>
            <w:tcW w:w="1417" w:type="dxa"/>
            <w:vAlign w:val="center"/>
          </w:tcPr>
          <w:p>
            <w:pPr>
              <w:spacing w:line="300" w:lineRule="exact"/>
              <w:jc w:val="left"/>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hint="eastAsia"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、司法教育培训</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开展学历教育和政法干警试点生培养</w:t>
            </w:r>
            <w:r>
              <w:rPr>
                <w:rFonts w:ascii="方正书宋_GBK" w:eastAsia="方正书宋_GBK"/>
              </w:rPr>
              <w:t>,</w:t>
            </w:r>
            <w:r>
              <w:rPr>
                <w:rFonts w:hint="eastAsia" w:ascii="方正书宋_GBK" w:eastAsia="方正书宋_GBK"/>
              </w:rPr>
              <w:t>核心专业比例提高</w:t>
            </w:r>
            <w:r>
              <w:rPr>
                <w:rFonts w:ascii="方正书宋_GBK" w:eastAsia="方正书宋_GBK"/>
              </w:rPr>
              <w:t>0.1%</w:t>
            </w:r>
            <w:r>
              <w:rPr>
                <w:rFonts w:hint="eastAsia" w:ascii="方正书宋_GBK" w:eastAsia="方正书宋_GBK"/>
              </w:rPr>
              <w:t>，即具有法学类、教育学、心理学、信息工程、等专业人数占队伍总人数比例提高。</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开展学历教育和政法干警试点生培养</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培训完成率</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、综合业务管理</w:t>
            </w:r>
          </w:p>
        </w:tc>
        <w:tc>
          <w:tcPr>
            <w:tcW w:w="1276" w:type="dxa"/>
            <w:vAlign w:val="center"/>
          </w:tcPr>
          <w:p>
            <w:pPr>
              <w:spacing w:line="300" w:lineRule="exact"/>
              <w:jc w:val="left"/>
              <w:rPr>
                <w:rFonts w:ascii="方正书宋_GBK" w:eastAsia="方正书宋_GBK"/>
              </w:rPr>
            </w:pPr>
            <w:r>
              <w:rPr>
                <w:rFonts w:ascii="方正书宋_GBK" w:eastAsia="方正书宋_GBK"/>
              </w:rPr>
              <w:t>47.40</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负责系统物资装备管理；指导监督系统计划财务工作及队伍建设；优化支出结构，当年人员支出、项目支出比例进一步优化。</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加强纪检审计监督、信息化建设等，促进司法行政系统各项事业健康发展。</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综合业务管理工作完成率</w:t>
            </w:r>
          </w:p>
        </w:tc>
        <w:tc>
          <w:tcPr>
            <w:tcW w:w="737" w:type="dxa"/>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、综合政务管理</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负责机关和直属事业单位经济财务等活动的内部审计监督；承办区政府交办的其他事项。推动充分利用社会力量参与司法行政工作，工勤人员、合同制辅助人员总数与队伍总人数的比例提高</w:t>
            </w:r>
            <w:r>
              <w:rPr>
                <w:rFonts w:ascii="方正书宋_GBK" w:eastAsia="方正书宋_GBK"/>
              </w:rPr>
              <w:t>0.2%</w:t>
            </w:r>
            <w:r>
              <w:rPr>
                <w:rFonts w:hint="eastAsia" w:ascii="方正书宋_GBK" w:eastAsia="方正书宋_GBK"/>
              </w:rPr>
              <w:t>。</w:t>
            </w:r>
          </w:p>
        </w:tc>
        <w:tc>
          <w:tcPr>
            <w:tcW w:w="2976" w:type="dxa"/>
            <w:vAlign w:val="center"/>
          </w:tcPr>
          <w:p>
            <w:pPr>
              <w:spacing w:line="300" w:lineRule="exact"/>
              <w:jc w:val="left"/>
              <w:rPr>
                <w:rFonts w:hint="eastAsia" w:ascii="方正书宋_GBK" w:eastAsia="方正书宋_GBK"/>
              </w:rPr>
            </w:pPr>
            <w:r>
              <w:rPr>
                <w:rFonts w:hint="eastAsia" w:ascii="方正书宋_GBK" w:eastAsia="方正书宋_GBK"/>
              </w:rPr>
              <w:t>加强机关后勤保障，确保正常办公化境需要</w:t>
            </w:r>
          </w:p>
        </w:tc>
        <w:tc>
          <w:tcPr>
            <w:tcW w:w="1417" w:type="dxa"/>
            <w:vAlign w:val="center"/>
          </w:tcPr>
          <w:p>
            <w:pPr>
              <w:spacing w:line="300" w:lineRule="exact"/>
              <w:jc w:val="left"/>
              <w:rPr>
                <w:rFonts w:hint="eastAsia" w:ascii="方正书宋_GBK" w:eastAsia="方正书宋_GBK"/>
              </w:rPr>
            </w:pPr>
            <w:r>
              <w:rPr>
                <w:rFonts w:hint="eastAsia" w:ascii="方正书宋_GBK" w:eastAsia="方正书宋_GBK"/>
              </w:rPr>
              <w:t>综合事物工作任务完成率</w:t>
            </w:r>
          </w:p>
        </w:tc>
        <w:tc>
          <w:tcPr>
            <w:tcW w:w="737" w:type="dxa"/>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vAlign w:val="center"/>
          </w:tcPr>
          <w:p>
            <w:pPr>
              <w:spacing w:line="300" w:lineRule="exact"/>
              <w:jc w:val="center"/>
              <w:rPr>
                <w:rFonts w:ascii="方正书宋_GBK" w:eastAsia="方正书宋_GBK"/>
              </w:rPr>
            </w:pPr>
            <w:r>
              <w:rPr>
                <w:rFonts w:ascii="方正书宋_GBK" w:eastAsia="方正书宋_GBK"/>
              </w:rPr>
              <w:t>&lt;90%</w:t>
            </w:r>
          </w:p>
        </w:tc>
      </w:tr>
    </w:tbl>
    <w:p>
      <w:pPr>
        <w:spacing w:line="300" w:lineRule="exact"/>
        <w:jc w:val="left"/>
        <w:outlineLvl w:val="0"/>
        <w:rPr>
          <w:rFonts w:hint="eastAsia" w:ascii="方正楷体_GBK" w:eastAsia="方正楷体_GBK"/>
          <w:sz w:val="24"/>
          <w:lang w:val="en-US" w:eastAsia="zh-CN"/>
        </w:rPr>
      </w:pPr>
      <w:r>
        <w:rPr>
          <w:rFonts w:hint="eastAsia" w:ascii="方正楷体_GBK" w:eastAsia="方正楷体_GBK"/>
          <w:sz w:val="24"/>
          <w:lang w:val="en-US" w:eastAsia="zh-CN"/>
        </w:rPr>
        <w:t xml:space="preserve">    </w:t>
      </w:r>
    </w:p>
    <w:p>
      <w:pPr>
        <w:spacing w:line="300" w:lineRule="exact"/>
        <w:jc w:val="left"/>
        <w:outlineLvl w:val="0"/>
        <w:sectPr>
          <w:pgSz w:w="16839" w:h="11907" w:orient="landscape"/>
          <w:pgMar w:top="1020" w:right="1361" w:bottom="1020" w:left="1361"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pPr>
      <w:r>
        <w:rPr>
          <w:rFonts w:hint="eastAsia" w:ascii="方正楷体_GBK" w:eastAsia="方正楷体_GBK"/>
          <w:sz w:val="24"/>
          <w:lang w:val="en-US" w:eastAsia="zh-CN"/>
        </w:rPr>
        <w:t xml:space="preserve">    </w:t>
      </w:r>
      <w:r>
        <w:rPr>
          <w:rFonts w:hint="eastAsia" w:ascii="方正楷体_GBK" w:eastAsia="方正楷体_GBK"/>
          <w:sz w:val="24"/>
        </w:rPr>
        <w:t>备注：表中的年度预算数为项目支出，部门工作活动虽未安排项目支出，但由基本支出保障，由于基本支出无法拆分到相应的工作活动，因此部分工作活动没有列示年度预算数。</w:t>
      </w:r>
    </w:p>
    <w:p>
      <w:pPr>
        <w:widowControl/>
        <w:spacing w:before="100" w:beforeAutospacing="1" w:after="100" w:afterAutospacing="1"/>
        <w:jc w:val="left"/>
        <w:rPr>
          <w:rFonts w:ascii="微软雅黑" w:hAnsi="微软雅黑" w:eastAsia="微软雅黑" w:cs="宋体"/>
          <w:color w:val="000000"/>
          <w:kern w:val="0"/>
          <w:sz w:val="44"/>
          <w:szCs w:val="44"/>
        </w:rPr>
      </w:pPr>
      <w:r>
        <w:rPr>
          <w:rFonts w:hint="eastAsia" w:ascii="仿宋" w:hAnsi="仿宋" w:eastAsia="仿宋" w:cs="宋体"/>
          <w:b/>
          <w:bCs/>
          <w:color w:val="000000"/>
          <w:kern w:val="0"/>
          <w:sz w:val="32"/>
          <w:szCs w:val="32"/>
        </w:rPr>
        <w:t>六、2018年度政府采购支出情况说明</w:t>
      </w:r>
      <w:r>
        <w:rPr>
          <w:rFonts w:hint="eastAsia" w:ascii="微软雅黑" w:hAnsi="微软雅黑" w:eastAsia="微软雅黑" w:cs="宋体"/>
          <w:color w:val="000000"/>
          <w:kern w:val="0"/>
          <w:sz w:val="44"/>
          <w:szCs w:val="44"/>
        </w:rPr>
        <w:t> </w:t>
      </w:r>
    </w:p>
    <w:p>
      <w:pPr>
        <w:widowControl/>
        <w:spacing w:before="100" w:beforeAutospacing="1" w:after="100" w:afterAutospacing="1"/>
        <w:ind w:firstLine="643"/>
        <w:jc w:val="left"/>
        <w:rPr>
          <w:rFonts w:ascii="微软雅黑" w:hAnsi="微软雅黑" w:eastAsia="微软雅黑" w:cs="宋体"/>
          <w:color w:val="000000"/>
          <w:kern w:val="0"/>
          <w:sz w:val="24"/>
          <w:szCs w:val="24"/>
        </w:rPr>
      </w:pPr>
      <w:r>
        <w:rPr>
          <w:rFonts w:hint="eastAsia" w:ascii="仿宋" w:hAnsi="仿宋" w:eastAsia="仿宋" w:cs="仿宋"/>
          <w:sz w:val="32"/>
          <w:szCs w:val="32"/>
        </w:rPr>
        <w:t>2019年，我局安排政府采购预算0万元。具体内容见下表。</w:t>
      </w:r>
    </w:p>
    <w:tbl>
      <w:tblPr>
        <w:tblStyle w:val="12"/>
        <w:tblW w:w="13628" w:type="dxa"/>
        <w:tblInd w:w="-544" w:type="dxa"/>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17" w:type="dxa"/>
          <w:left w:w="17" w:type="dxa"/>
          <w:bottom w:w="17" w:type="dxa"/>
          <w:right w:w="17" w:type="dxa"/>
        </w:tblCellMar>
      </w:tblPr>
      <w:tblGrid>
        <w:gridCol w:w="1222"/>
        <w:gridCol w:w="1248"/>
        <w:gridCol w:w="1009"/>
        <w:gridCol w:w="1106"/>
        <w:gridCol w:w="789"/>
        <w:gridCol w:w="513"/>
        <w:gridCol w:w="640"/>
        <w:gridCol w:w="812"/>
        <w:gridCol w:w="1020"/>
        <w:gridCol w:w="1012"/>
        <w:gridCol w:w="1020"/>
        <w:gridCol w:w="1009"/>
        <w:gridCol w:w="1129"/>
        <w:gridCol w:w="1099"/>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17" w:type="dxa"/>
            <w:left w:w="17" w:type="dxa"/>
            <w:bottom w:w="17" w:type="dxa"/>
            <w:right w:w="17" w:type="dxa"/>
          </w:tblCellMar>
        </w:tblPrEx>
        <w:trPr>
          <w:cantSplit/>
          <w:trHeight w:val="1137" w:hRule="atLeast"/>
        </w:trPr>
        <w:tc>
          <w:tcPr>
            <w:tcW w:w="2470" w:type="dxa"/>
            <w:gridSpan w:val="2"/>
            <w:tcBorders>
              <w:tl2br w:val="nil"/>
              <w:tr2bl w:val="nil"/>
            </w:tcBorders>
            <w:vAlign w:val="center"/>
          </w:tcPr>
          <w:p>
            <w:pPr>
              <w:widowControl/>
              <w:wordWrap/>
              <w:adjustRightInd/>
              <w:snapToGrid/>
              <w:spacing w:before="100" w:beforeAutospacing="1" w:after="100" w:afterAutospacing="1" w:line="420" w:lineRule="exact"/>
              <w:ind w:left="0" w:leftChars="0" w:right="0" w:firstLine="0" w:firstLineChars="0"/>
              <w:jc w:val="center"/>
              <w:textAlignment w:val="center"/>
              <w:outlineLvl w:val="9"/>
              <w:rPr>
                <w:rFonts w:ascii="宋体" w:hAnsi="宋体" w:eastAsia="宋体" w:cs="宋体"/>
                <w:kern w:val="0"/>
                <w:sz w:val="24"/>
                <w:szCs w:val="24"/>
              </w:rPr>
            </w:pPr>
            <w:r>
              <w:rPr>
                <w:rFonts w:hint="eastAsia" w:ascii="方正书宋_GBK" w:hAnsi="宋体" w:eastAsia="方正书宋_GBK" w:cs="宋体"/>
                <w:b/>
                <w:bCs/>
                <w:color w:val="000000"/>
                <w:kern w:val="0"/>
                <w:szCs w:val="21"/>
              </w:rPr>
              <w:t>政府采购项目来源</w:t>
            </w:r>
          </w:p>
        </w:tc>
        <w:tc>
          <w:tcPr>
            <w:tcW w:w="1009" w:type="dxa"/>
            <w:vMerge w:val="restart"/>
            <w:tcBorders>
              <w:tl2br w:val="nil"/>
              <w:tr2bl w:val="nil"/>
            </w:tcBorders>
            <w:vAlign w:val="center"/>
          </w:tcPr>
          <w:p>
            <w:pPr>
              <w:widowControl/>
              <w:wordWrap/>
              <w:adjustRightInd/>
              <w:snapToGrid/>
              <w:spacing w:before="100" w:beforeAutospacing="1" w:after="100" w:afterAutospacing="1" w:line="420" w:lineRule="exact"/>
              <w:ind w:left="0" w:leftChars="0" w:right="0" w:firstLine="0" w:firstLineChars="0"/>
              <w:jc w:val="center"/>
              <w:textAlignment w:val="center"/>
              <w:outlineLvl w:val="9"/>
              <w:rPr>
                <w:rFonts w:ascii="宋体" w:hAnsi="宋体" w:eastAsia="宋体" w:cs="宋体"/>
                <w:kern w:val="0"/>
                <w:sz w:val="24"/>
                <w:szCs w:val="24"/>
              </w:rPr>
            </w:pPr>
            <w:r>
              <w:rPr>
                <w:rFonts w:hint="eastAsia" w:ascii="方正书宋_GBK" w:hAnsi="宋体" w:eastAsia="方正书宋_GBK" w:cs="宋体"/>
                <w:b/>
                <w:bCs/>
                <w:color w:val="000000"/>
                <w:kern w:val="0"/>
                <w:szCs w:val="21"/>
              </w:rPr>
              <w:t>采购物品名称</w:t>
            </w:r>
          </w:p>
        </w:tc>
        <w:tc>
          <w:tcPr>
            <w:tcW w:w="1106" w:type="dxa"/>
            <w:tcBorders>
              <w:tl2br w:val="nil"/>
              <w:tr2bl w:val="nil"/>
            </w:tcBorders>
            <w:vAlign w:val="center"/>
          </w:tcPr>
          <w:p>
            <w:pPr>
              <w:widowControl/>
              <w:wordWrap/>
              <w:adjustRightInd/>
              <w:snapToGrid/>
              <w:spacing w:before="100" w:beforeAutospacing="1" w:after="100" w:afterAutospacing="1" w:line="420" w:lineRule="exact"/>
              <w:ind w:left="0" w:leftChars="0" w:right="0" w:firstLine="0" w:firstLineChars="0"/>
              <w:jc w:val="center"/>
              <w:textAlignment w:val="center"/>
              <w:outlineLvl w:val="9"/>
              <w:rPr>
                <w:rFonts w:ascii="宋体" w:hAnsi="宋体" w:eastAsia="宋体" w:cs="宋体"/>
                <w:kern w:val="0"/>
                <w:sz w:val="24"/>
                <w:szCs w:val="24"/>
              </w:rPr>
            </w:pPr>
            <w:r>
              <w:rPr>
                <w:rFonts w:hint="eastAsia" w:ascii="方正书宋_GBK" w:hAnsi="宋体" w:eastAsia="方正书宋_GBK" w:cs="宋体"/>
                <w:b/>
                <w:bCs/>
                <w:color w:val="000000"/>
                <w:kern w:val="0"/>
                <w:szCs w:val="21"/>
              </w:rPr>
              <w:t>政府采购目录序号</w:t>
            </w:r>
          </w:p>
        </w:tc>
        <w:tc>
          <w:tcPr>
            <w:tcW w:w="789" w:type="dxa"/>
            <w:tcBorders>
              <w:tl2br w:val="nil"/>
              <w:tr2bl w:val="nil"/>
            </w:tcBorders>
            <w:vAlign w:val="center"/>
          </w:tcPr>
          <w:p>
            <w:pPr>
              <w:widowControl/>
              <w:wordWrap/>
              <w:adjustRightInd/>
              <w:snapToGrid/>
              <w:spacing w:before="100" w:beforeAutospacing="1" w:after="100" w:afterAutospacing="1" w:line="360" w:lineRule="exact"/>
              <w:ind w:left="0" w:leftChars="0" w:right="0" w:firstLine="0" w:firstLineChars="0"/>
              <w:jc w:val="center"/>
              <w:textAlignment w:val="center"/>
              <w:outlineLvl w:val="9"/>
              <w:rPr>
                <w:rFonts w:hint="eastAsia" w:ascii="方正书宋_GBK" w:hAnsi="宋体" w:eastAsia="方正书宋_GBK" w:cs="宋体"/>
                <w:b/>
                <w:bCs/>
                <w:color w:val="000000"/>
                <w:kern w:val="0"/>
                <w:szCs w:val="21"/>
              </w:rPr>
            </w:pPr>
            <w:r>
              <w:rPr>
                <w:rFonts w:hint="eastAsia" w:ascii="方正书宋_GBK" w:hAnsi="宋体" w:eastAsia="方正书宋_GBK" w:cs="宋体"/>
                <w:b/>
                <w:bCs/>
                <w:color w:val="000000"/>
                <w:kern w:val="0"/>
                <w:szCs w:val="21"/>
              </w:rPr>
              <w:t>数量</w:t>
            </w:r>
          </w:p>
          <w:p>
            <w:pPr>
              <w:widowControl/>
              <w:wordWrap/>
              <w:adjustRightInd/>
              <w:snapToGrid/>
              <w:spacing w:before="100" w:beforeAutospacing="1" w:after="100" w:afterAutospacing="1" w:line="360" w:lineRule="exact"/>
              <w:ind w:left="0" w:leftChars="0" w:right="0" w:firstLine="0" w:firstLineChars="0"/>
              <w:jc w:val="center"/>
              <w:textAlignment w:val="center"/>
              <w:outlineLvl w:val="9"/>
              <w:rPr>
                <w:rFonts w:ascii="宋体" w:hAnsi="宋体" w:eastAsia="宋体" w:cs="宋体"/>
                <w:kern w:val="0"/>
                <w:sz w:val="24"/>
                <w:szCs w:val="24"/>
              </w:rPr>
            </w:pPr>
            <w:r>
              <w:rPr>
                <w:rFonts w:hint="eastAsia" w:ascii="方正书宋_GBK" w:hAnsi="宋体" w:eastAsia="方正书宋_GBK" w:cs="宋体"/>
                <w:b/>
                <w:bCs/>
                <w:color w:val="000000"/>
                <w:kern w:val="0"/>
                <w:szCs w:val="21"/>
              </w:rPr>
              <w:t>单位</w:t>
            </w:r>
          </w:p>
        </w:tc>
        <w:tc>
          <w:tcPr>
            <w:tcW w:w="513" w:type="dxa"/>
            <w:tcBorders>
              <w:tl2br w:val="nil"/>
              <w:tr2bl w:val="nil"/>
            </w:tcBorders>
            <w:vAlign w:val="center"/>
          </w:tcPr>
          <w:p>
            <w:pPr>
              <w:widowControl/>
              <w:wordWrap/>
              <w:adjustRightInd/>
              <w:snapToGrid/>
              <w:spacing w:before="100" w:beforeAutospacing="1" w:after="100" w:afterAutospacing="1" w:line="420" w:lineRule="exact"/>
              <w:ind w:left="0" w:leftChars="0" w:right="0" w:firstLine="0" w:firstLineChars="0"/>
              <w:jc w:val="center"/>
              <w:textAlignment w:val="center"/>
              <w:outlineLvl w:val="9"/>
              <w:rPr>
                <w:rFonts w:ascii="宋体" w:hAnsi="宋体" w:eastAsia="宋体" w:cs="宋体"/>
                <w:kern w:val="0"/>
                <w:sz w:val="24"/>
                <w:szCs w:val="24"/>
              </w:rPr>
            </w:pPr>
            <w:r>
              <w:rPr>
                <w:rFonts w:hint="eastAsia" w:ascii="方正书宋_GBK" w:hAnsi="宋体" w:eastAsia="方正书宋_GBK" w:cs="宋体"/>
                <w:b/>
                <w:bCs/>
                <w:color w:val="000000"/>
                <w:kern w:val="0"/>
                <w:szCs w:val="21"/>
              </w:rPr>
              <w:t>数量</w:t>
            </w:r>
          </w:p>
        </w:tc>
        <w:tc>
          <w:tcPr>
            <w:tcW w:w="640" w:type="dxa"/>
            <w:tcBorders>
              <w:tl2br w:val="nil"/>
              <w:tr2bl w:val="nil"/>
            </w:tcBorders>
            <w:vAlign w:val="center"/>
          </w:tcPr>
          <w:p>
            <w:pPr>
              <w:widowControl/>
              <w:wordWrap/>
              <w:adjustRightInd/>
              <w:snapToGrid/>
              <w:spacing w:before="100" w:beforeAutospacing="1" w:after="100" w:afterAutospacing="1" w:line="420" w:lineRule="exact"/>
              <w:ind w:left="0" w:leftChars="0" w:right="0" w:firstLine="0" w:firstLineChars="0"/>
              <w:jc w:val="center"/>
              <w:textAlignment w:val="center"/>
              <w:outlineLvl w:val="9"/>
              <w:rPr>
                <w:rFonts w:ascii="宋体" w:hAnsi="宋体" w:eastAsia="宋体" w:cs="宋体"/>
                <w:kern w:val="0"/>
                <w:sz w:val="24"/>
                <w:szCs w:val="24"/>
              </w:rPr>
            </w:pPr>
            <w:r>
              <w:rPr>
                <w:rFonts w:hint="eastAsia" w:ascii="方正书宋_GBK" w:hAnsi="宋体" w:eastAsia="方正书宋_GBK" w:cs="宋体"/>
                <w:b/>
                <w:bCs/>
                <w:color w:val="000000"/>
                <w:kern w:val="0"/>
                <w:szCs w:val="21"/>
              </w:rPr>
              <w:t>单价</w:t>
            </w:r>
          </w:p>
        </w:tc>
        <w:tc>
          <w:tcPr>
            <w:tcW w:w="7101" w:type="dxa"/>
            <w:gridSpan w:val="7"/>
            <w:tcBorders>
              <w:tl2br w:val="nil"/>
              <w:tr2bl w:val="nil"/>
            </w:tcBorders>
            <w:vAlign w:val="center"/>
          </w:tcPr>
          <w:p>
            <w:pPr>
              <w:widowControl/>
              <w:wordWrap/>
              <w:adjustRightInd/>
              <w:snapToGrid/>
              <w:spacing w:before="100" w:beforeAutospacing="1" w:after="100" w:afterAutospacing="1" w:line="420" w:lineRule="exact"/>
              <w:ind w:left="0" w:leftChars="0" w:right="0" w:firstLine="0" w:firstLineChars="0"/>
              <w:jc w:val="center"/>
              <w:textAlignment w:val="center"/>
              <w:outlineLvl w:val="9"/>
              <w:rPr>
                <w:rFonts w:ascii="宋体" w:hAnsi="宋体" w:eastAsia="宋体" w:cs="宋体"/>
                <w:kern w:val="0"/>
                <w:sz w:val="24"/>
                <w:szCs w:val="24"/>
              </w:rPr>
            </w:pPr>
            <w:r>
              <w:rPr>
                <w:rFonts w:hint="eastAsia" w:ascii="方正书宋_GBK" w:hAnsi="宋体" w:eastAsia="方正书宋_GBK" w:cs="宋体"/>
                <w:b/>
                <w:bCs/>
                <w:color w:val="000000"/>
                <w:kern w:val="0"/>
                <w:szCs w:val="21"/>
              </w:rPr>
              <w:t>政府采购金额</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17" w:type="dxa"/>
            <w:left w:w="17" w:type="dxa"/>
            <w:bottom w:w="17" w:type="dxa"/>
            <w:right w:w="17" w:type="dxa"/>
          </w:tblCellMar>
        </w:tblPrEx>
        <w:trPr>
          <w:cantSplit/>
          <w:trHeight w:val="285" w:hRule="atLeast"/>
        </w:trPr>
        <w:tc>
          <w:tcPr>
            <w:tcW w:w="1222" w:type="dxa"/>
            <w:vMerge w:val="restart"/>
            <w:tcBorders>
              <w:tl2br w:val="nil"/>
              <w:tr2bl w:val="nil"/>
            </w:tcBorders>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项目名称</w:t>
            </w:r>
          </w:p>
        </w:tc>
        <w:tc>
          <w:tcPr>
            <w:tcW w:w="1248" w:type="dxa"/>
            <w:vMerge w:val="restart"/>
            <w:tcBorders>
              <w:tl2br w:val="nil"/>
              <w:tr2bl w:val="nil"/>
            </w:tcBorders>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预算资金</w:t>
            </w:r>
          </w:p>
        </w:tc>
        <w:tc>
          <w:tcPr>
            <w:tcW w:w="1009" w:type="dxa"/>
            <w:tcBorders>
              <w:tl2br w:val="nil"/>
              <w:tr2bl w:val="nil"/>
            </w:tcBorders>
            <w:vAlign w:val="center"/>
          </w:tcPr>
          <w:p>
            <w:pPr>
              <w:widowControl/>
              <w:jc w:val="left"/>
              <w:rPr>
                <w:rFonts w:ascii="宋体" w:hAnsi="宋体" w:eastAsia="宋体" w:cs="宋体"/>
                <w:kern w:val="0"/>
                <w:sz w:val="24"/>
                <w:szCs w:val="24"/>
              </w:rPr>
            </w:pPr>
          </w:p>
        </w:tc>
        <w:tc>
          <w:tcPr>
            <w:tcW w:w="1106" w:type="dxa"/>
            <w:tcBorders>
              <w:tl2br w:val="nil"/>
              <w:tr2bl w:val="nil"/>
            </w:tcBorders>
            <w:vAlign w:val="center"/>
          </w:tcPr>
          <w:p>
            <w:pPr>
              <w:widowControl/>
              <w:jc w:val="left"/>
              <w:rPr>
                <w:rFonts w:ascii="宋体" w:hAnsi="宋体" w:eastAsia="宋体" w:cs="宋体"/>
                <w:kern w:val="0"/>
                <w:sz w:val="24"/>
                <w:szCs w:val="24"/>
              </w:rPr>
            </w:pPr>
          </w:p>
        </w:tc>
        <w:tc>
          <w:tcPr>
            <w:tcW w:w="789" w:type="dxa"/>
            <w:tcBorders>
              <w:tl2br w:val="nil"/>
              <w:tr2bl w:val="nil"/>
            </w:tcBorders>
            <w:vAlign w:val="center"/>
          </w:tcPr>
          <w:p>
            <w:pPr>
              <w:widowControl/>
              <w:jc w:val="left"/>
              <w:rPr>
                <w:rFonts w:ascii="宋体" w:hAnsi="宋体" w:eastAsia="宋体" w:cs="宋体"/>
                <w:kern w:val="0"/>
                <w:sz w:val="24"/>
                <w:szCs w:val="24"/>
              </w:rPr>
            </w:pPr>
          </w:p>
        </w:tc>
        <w:tc>
          <w:tcPr>
            <w:tcW w:w="513" w:type="dxa"/>
            <w:tcBorders>
              <w:tl2br w:val="nil"/>
              <w:tr2bl w:val="nil"/>
            </w:tcBorders>
            <w:vAlign w:val="center"/>
          </w:tcPr>
          <w:p>
            <w:pPr>
              <w:widowControl/>
              <w:jc w:val="left"/>
              <w:rPr>
                <w:rFonts w:ascii="宋体" w:hAnsi="宋体" w:eastAsia="宋体" w:cs="宋体"/>
                <w:kern w:val="0"/>
                <w:sz w:val="24"/>
                <w:szCs w:val="24"/>
              </w:rPr>
            </w:pPr>
          </w:p>
        </w:tc>
        <w:tc>
          <w:tcPr>
            <w:tcW w:w="640" w:type="dxa"/>
            <w:tcBorders>
              <w:tl2br w:val="nil"/>
              <w:tr2bl w:val="nil"/>
            </w:tcBorders>
            <w:vAlign w:val="center"/>
          </w:tcPr>
          <w:p>
            <w:pPr>
              <w:widowControl/>
              <w:jc w:val="left"/>
              <w:rPr>
                <w:rFonts w:ascii="宋体" w:hAnsi="宋体" w:eastAsia="宋体" w:cs="宋体"/>
                <w:kern w:val="0"/>
                <w:sz w:val="24"/>
                <w:szCs w:val="24"/>
              </w:rPr>
            </w:pPr>
          </w:p>
        </w:tc>
        <w:tc>
          <w:tcPr>
            <w:tcW w:w="812" w:type="dxa"/>
            <w:vMerge w:val="restart"/>
            <w:tcBorders>
              <w:tl2br w:val="nil"/>
              <w:tr2bl w:val="nil"/>
            </w:tcBorders>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总计</w:t>
            </w:r>
          </w:p>
        </w:tc>
        <w:tc>
          <w:tcPr>
            <w:tcW w:w="5190" w:type="dxa"/>
            <w:gridSpan w:val="5"/>
            <w:tcBorders>
              <w:tl2br w:val="nil"/>
              <w:tr2bl w:val="nil"/>
            </w:tcBorders>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当年部门预算安排资金</w:t>
            </w:r>
          </w:p>
        </w:tc>
        <w:tc>
          <w:tcPr>
            <w:tcW w:w="1099" w:type="dxa"/>
            <w:tcBorders>
              <w:tl2br w:val="nil"/>
              <w:tr2bl w:val="nil"/>
            </w:tcBorders>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其他渠道资金</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17" w:type="dxa"/>
            <w:left w:w="17" w:type="dxa"/>
            <w:bottom w:w="17" w:type="dxa"/>
            <w:right w:w="17" w:type="dxa"/>
          </w:tblCellMar>
        </w:tblPrEx>
        <w:trPr>
          <w:cantSplit/>
          <w:trHeight w:val="510" w:hRule="atLeast"/>
        </w:trPr>
        <w:tc>
          <w:tcPr>
            <w:tcW w:w="1222" w:type="dxa"/>
            <w:vMerge w:val="continue"/>
            <w:tcBorders>
              <w:tl2br w:val="nil"/>
              <w:tr2bl w:val="nil"/>
            </w:tcBorders>
            <w:vAlign w:val="center"/>
          </w:tcPr>
          <w:p>
            <w:pPr>
              <w:widowControl/>
              <w:jc w:val="left"/>
              <w:rPr>
                <w:rFonts w:ascii="宋体" w:hAnsi="宋体" w:eastAsia="宋体" w:cs="宋体"/>
                <w:kern w:val="0"/>
                <w:sz w:val="24"/>
                <w:szCs w:val="24"/>
              </w:rPr>
            </w:pPr>
          </w:p>
        </w:tc>
        <w:tc>
          <w:tcPr>
            <w:tcW w:w="1248" w:type="dxa"/>
            <w:vMerge w:val="continue"/>
            <w:tcBorders>
              <w:tl2br w:val="nil"/>
              <w:tr2bl w:val="nil"/>
            </w:tcBorders>
            <w:vAlign w:val="center"/>
          </w:tcPr>
          <w:p>
            <w:pPr>
              <w:widowControl/>
              <w:jc w:val="left"/>
              <w:rPr>
                <w:rFonts w:ascii="宋体" w:hAnsi="宋体" w:eastAsia="宋体" w:cs="宋体"/>
                <w:kern w:val="0"/>
                <w:sz w:val="24"/>
                <w:szCs w:val="24"/>
              </w:rPr>
            </w:pPr>
          </w:p>
        </w:tc>
        <w:tc>
          <w:tcPr>
            <w:tcW w:w="1009" w:type="dxa"/>
            <w:tcBorders>
              <w:tl2br w:val="nil"/>
              <w:tr2bl w:val="nil"/>
            </w:tcBorders>
            <w:vAlign w:val="center"/>
          </w:tcPr>
          <w:p>
            <w:pPr>
              <w:widowControl/>
              <w:jc w:val="left"/>
              <w:rPr>
                <w:rFonts w:ascii="宋体" w:hAnsi="宋体" w:eastAsia="宋体" w:cs="宋体"/>
                <w:kern w:val="0"/>
                <w:sz w:val="24"/>
                <w:szCs w:val="24"/>
              </w:rPr>
            </w:pPr>
          </w:p>
        </w:tc>
        <w:tc>
          <w:tcPr>
            <w:tcW w:w="1106" w:type="dxa"/>
            <w:tcBorders>
              <w:tl2br w:val="nil"/>
              <w:tr2bl w:val="nil"/>
            </w:tcBorders>
            <w:vAlign w:val="center"/>
          </w:tcPr>
          <w:p>
            <w:pPr>
              <w:widowControl/>
              <w:jc w:val="left"/>
              <w:rPr>
                <w:rFonts w:ascii="宋体" w:hAnsi="宋体" w:eastAsia="宋体" w:cs="宋体"/>
                <w:kern w:val="0"/>
                <w:sz w:val="24"/>
                <w:szCs w:val="24"/>
              </w:rPr>
            </w:pPr>
          </w:p>
        </w:tc>
        <w:tc>
          <w:tcPr>
            <w:tcW w:w="789" w:type="dxa"/>
            <w:tcBorders>
              <w:tl2br w:val="nil"/>
              <w:tr2bl w:val="nil"/>
            </w:tcBorders>
            <w:vAlign w:val="center"/>
          </w:tcPr>
          <w:p>
            <w:pPr>
              <w:widowControl/>
              <w:jc w:val="left"/>
              <w:rPr>
                <w:rFonts w:ascii="宋体" w:hAnsi="宋体" w:eastAsia="宋体" w:cs="宋体"/>
                <w:kern w:val="0"/>
                <w:sz w:val="24"/>
                <w:szCs w:val="24"/>
              </w:rPr>
            </w:pPr>
          </w:p>
        </w:tc>
        <w:tc>
          <w:tcPr>
            <w:tcW w:w="513" w:type="dxa"/>
            <w:tcBorders>
              <w:tl2br w:val="nil"/>
              <w:tr2bl w:val="nil"/>
            </w:tcBorders>
            <w:vAlign w:val="center"/>
          </w:tcPr>
          <w:p>
            <w:pPr>
              <w:widowControl/>
              <w:jc w:val="left"/>
              <w:rPr>
                <w:rFonts w:ascii="宋体" w:hAnsi="宋体" w:eastAsia="宋体" w:cs="宋体"/>
                <w:kern w:val="0"/>
                <w:sz w:val="24"/>
                <w:szCs w:val="24"/>
              </w:rPr>
            </w:pPr>
          </w:p>
        </w:tc>
        <w:tc>
          <w:tcPr>
            <w:tcW w:w="640" w:type="dxa"/>
            <w:tcBorders>
              <w:tl2br w:val="nil"/>
              <w:tr2bl w:val="nil"/>
            </w:tcBorders>
            <w:vAlign w:val="center"/>
          </w:tcPr>
          <w:p>
            <w:pPr>
              <w:widowControl/>
              <w:jc w:val="left"/>
              <w:rPr>
                <w:rFonts w:ascii="宋体" w:hAnsi="宋体" w:eastAsia="宋体" w:cs="宋体"/>
                <w:kern w:val="0"/>
                <w:sz w:val="24"/>
                <w:szCs w:val="24"/>
              </w:rPr>
            </w:pPr>
          </w:p>
        </w:tc>
        <w:tc>
          <w:tcPr>
            <w:tcW w:w="812" w:type="dxa"/>
            <w:vMerge w:val="continue"/>
            <w:tcBorders>
              <w:tl2br w:val="nil"/>
              <w:tr2bl w:val="nil"/>
            </w:tcBorders>
            <w:vAlign w:val="center"/>
          </w:tcPr>
          <w:p>
            <w:pPr>
              <w:widowControl/>
              <w:jc w:val="left"/>
              <w:rPr>
                <w:rFonts w:ascii="宋体" w:hAnsi="宋体" w:eastAsia="宋体" w:cs="宋体"/>
                <w:kern w:val="0"/>
                <w:sz w:val="24"/>
                <w:szCs w:val="24"/>
              </w:rPr>
            </w:pPr>
          </w:p>
        </w:tc>
        <w:tc>
          <w:tcPr>
            <w:tcW w:w="1020" w:type="dxa"/>
            <w:tcBorders>
              <w:tl2br w:val="nil"/>
              <w:tr2bl w:val="nil"/>
            </w:tcBorders>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合计</w:t>
            </w:r>
          </w:p>
        </w:tc>
        <w:tc>
          <w:tcPr>
            <w:tcW w:w="1012" w:type="dxa"/>
            <w:tcBorders>
              <w:tl2br w:val="nil"/>
              <w:tr2bl w:val="nil"/>
            </w:tcBorders>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一般公共预算拨款</w:t>
            </w:r>
          </w:p>
        </w:tc>
        <w:tc>
          <w:tcPr>
            <w:tcW w:w="1020" w:type="dxa"/>
            <w:tcBorders>
              <w:tl2br w:val="nil"/>
              <w:tr2bl w:val="nil"/>
            </w:tcBorders>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基金预算拨款</w:t>
            </w:r>
          </w:p>
        </w:tc>
        <w:tc>
          <w:tcPr>
            <w:tcW w:w="1009" w:type="dxa"/>
            <w:tcBorders>
              <w:tl2br w:val="nil"/>
              <w:tr2bl w:val="nil"/>
            </w:tcBorders>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财政专户核拨</w:t>
            </w:r>
          </w:p>
        </w:tc>
        <w:tc>
          <w:tcPr>
            <w:tcW w:w="1129" w:type="dxa"/>
            <w:tcBorders>
              <w:tl2br w:val="nil"/>
              <w:tr2bl w:val="nil"/>
            </w:tcBorders>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其他来源收入</w:t>
            </w:r>
          </w:p>
        </w:tc>
        <w:tc>
          <w:tcPr>
            <w:tcW w:w="1099" w:type="dxa"/>
            <w:tcBorders>
              <w:tl2br w:val="nil"/>
              <w:tr2bl w:val="nil"/>
            </w:tcBorders>
            <w:vAlign w:val="center"/>
          </w:tcPr>
          <w:p>
            <w:pPr>
              <w:widowControl/>
              <w:jc w:val="left"/>
              <w:rPr>
                <w:rFonts w:ascii="宋体" w:hAnsi="宋体" w:eastAsia="宋体" w:cs="宋体"/>
                <w:kern w:val="0"/>
                <w:sz w:val="24"/>
                <w:szCs w:val="24"/>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17" w:type="dxa"/>
            <w:left w:w="17" w:type="dxa"/>
            <w:bottom w:w="17" w:type="dxa"/>
            <w:right w:w="17" w:type="dxa"/>
          </w:tblCellMar>
        </w:tblPrEx>
        <w:trPr>
          <w:cantSplit/>
          <w:trHeight w:val="285" w:hRule="atLeast"/>
        </w:trPr>
        <w:tc>
          <w:tcPr>
            <w:tcW w:w="1222" w:type="dxa"/>
            <w:tcBorders>
              <w:tl2br w:val="nil"/>
              <w:tr2bl w:val="nil"/>
            </w:tcBorders>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合　计</w:t>
            </w:r>
          </w:p>
        </w:tc>
        <w:tc>
          <w:tcPr>
            <w:tcW w:w="1248" w:type="dxa"/>
            <w:tcBorders>
              <w:tl2br w:val="nil"/>
              <w:tr2bl w:val="nil"/>
            </w:tcBorders>
            <w:vAlign w:val="center"/>
          </w:tcPr>
          <w:p>
            <w:pPr>
              <w:widowControl/>
              <w:spacing w:before="100" w:beforeAutospacing="1" w:after="100" w:afterAutospacing="1"/>
              <w:jc w:val="right"/>
              <w:rPr>
                <w:rFonts w:ascii="宋体" w:hAnsi="宋体" w:eastAsia="宋体" w:cs="宋体"/>
                <w:kern w:val="0"/>
                <w:sz w:val="24"/>
                <w:szCs w:val="24"/>
              </w:rPr>
            </w:pPr>
            <w:r>
              <w:rPr>
                <w:rFonts w:hint="eastAsia" w:ascii="方正书宋_GBK" w:hAnsi="宋体" w:eastAsia="方正书宋_GBK" w:cs="宋体"/>
                <w:b/>
                <w:bCs/>
                <w:color w:val="000000"/>
                <w:kern w:val="0"/>
                <w:szCs w:val="21"/>
              </w:rPr>
              <w:t> </w:t>
            </w:r>
          </w:p>
        </w:tc>
        <w:tc>
          <w:tcPr>
            <w:tcW w:w="1009" w:type="dxa"/>
            <w:tcBorders>
              <w:tl2br w:val="nil"/>
              <w:tr2bl w:val="nil"/>
            </w:tcBorders>
            <w:vAlign w:val="center"/>
          </w:tcPr>
          <w:p>
            <w:pPr>
              <w:widowControl/>
              <w:spacing w:before="100" w:beforeAutospacing="1" w:after="100" w:afterAutospacing="1"/>
              <w:jc w:val="left"/>
              <w:rPr>
                <w:rFonts w:ascii="宋体" w:hAnsi="宋体" w:eastAsia="宋体" w:cs="宋体"/>
                <w:kern w:val="0"/>
                <w:sz w:val="24"/>
                <w:szCs w:val="24"/>
              </w:rPr>
            </w:pPr>
            <w:r>
              <w:rPr>
                <w:rFonts w:hint="eastAsia" w:ascii="方正书宋_GBK" w:hAnsi="宋体" w:eastAsia="方正书宋_GBK" w:cs="宋体"/>
                <w:b/>
                <w:bCs/>
                <w:color w:val="000000"/>
                <w:kern w:val="0"/>
                <w:szCs w:val="21"/>
              </w:rPr>
              <w:t> </w:t>
            </w:r>
          </w:p>
        </w:tc>
        <w:tc>
          <w:tcPr>
            <w:tcW w:w="1106" w:type="dxa"/>
            <w:tcBorders>
              <w:tl2br w:val="nil"/>
              <w:tr2bl w:val="nil"/>
            </w:tcBorders>
            <w:vAlign w:val="center"/>
          </w:tcPr>
          <w:p>
            <w:pPr>
              <w:widowControl/>
              <w:spacing w:before="100" w:beforeAutospacing="1" w:after="100" w:afterAutospacing="1"/>
              <w:jc w:val="left"/>
              <w:rPr>
                <w:rFonts w:ascii="宋体" w:hAnsi="宋体" w:eastAsia="宋体" w:cs="宋体"/>
                <w:kern w:val="0"/>
                <w:sz w:val="24"/>
                <w:szCs w:val="24"/>
              </w:rPr>
            </w:pPr>
            <w:r>
              <w:rPr>
                <w:rFonts w:hint="eastAsia" w:ascii="方正书宋_GBK" w:hAnsi="宋体" w:eastAsia="方正书宋_GBK" w:cs="宋体"/>
                <w:b/>
                <w:bCs/>
                <w:color w:val="000000"/>
                <w:kern w:val="0"/>
                <w:szCs w:val="21"/>
              </w:rPr>
              <w:t> </w:t>
            </w:r>
          </w:p>
        </w:tc>
        <w:tc>
          <w:tcPr>
            <w:tcW w:w="789" w:type="dxa"/>
            <w:tcBorders>
              <w:tl2br w:val="nil"/>
              <w:tr2bl w:val="nil"/>
            </w:tcBorders>
            <w:vAlign w:val="center"/>
          </w:tcPr>
          <w:p>
            <w:pPr>
              <w:widowControl/>
              <w:spacing w:before="100" w:beforeAutospacing="1" w:after="100" w:afterAutospacing="1"/>
              <w:jc w:val="left"/>
              <w:rPr>
                <w:rFonts w:ascii="宋体" w:hAnsi="宋体" w:eastAsia="宋体" w:cs="宋体"/>
                <w:kern w:val="0"/>
                <w:sz w:val="24"/>
                <w:szCs w:val="24"/>
              </w:rPr>
            </w:pPr>
            <w:r>
              <w:rPr>
                <w:rFonts w:hint="eastAsia" w:ascii="方正书宋_GBK" w:hAnsi="宋体" w:eastAsia="方正书宋_GBK" w:cs="宋体"/>
                <w:b/>
                <w:bCs/>
                <w:color w:val="000000"/>
                <w:kern w:val="0"/>
                <w:szCs w:val="21"/>
              </w:rPr>
              <w:t> </w:t>
            </w:r>
          </w:p>
        </w:tc>
        <w:tc>
          <w:tcPr>
            <w:tcW w:w="513" w:type="dxa"/>
            <w:tcBorders>
              <w:tl2br w:val="nil"/>
              <w:tr2bl w:val="nil"/>
            </w:tcBorders>
            <w:vAlign w:val="center"/>
          </w:tcPr>
          <w:p>
            <w:pPr>
              <w:widowControl/>
              <w:spacing w:before="100" w:beforeAutospacing="1" w:after="100" w:afterAutospacing="1"/>
              <w:jc w:val="right"/>
              <w:rPr>
                <w:rFonts w:ascii="宋体" w:hAnsi="宋体" w:eastAsia="宋体" w:cs="宋体"/>
                <w:kern w:val="0"/>
                <w:sz w:val="24"/>
                <w:szCs w:val="24"/>
              </w:rPr>
            </w:pPr>
            <w:r>
              <w:rPr>
                <w:rFonts w:hint="eastAsia" w:ascii="方正书宋_GBK" w:hAnsi="宋体" w:eastAsia="方正书宋_GBK" w:cs="宋体"/>
                <w:b/>
                <w:bCs/>
                <w:color w:val="000000"/>
                <w:kern w:val="0"/>
                <w:szCs w:val="21"/>
              </w:rPr>
              <w:t> </w:t>
            </w:r>
          </w:p>
        </w:tc>
        <w:tc>
          <w:tcPr>
            <w:tcW w:w="640" w:type="dxa"/>
            <w:tcBorders>
              <w:tl2br w:val="nil"/>
              <w:tr2bl w:val="nil"/>
            </w:tcBorders>
            <w:vAlign w:val="center"/>
          </w:tcPr>
          <w:p>
            <w:pPr>
              <w:widowControl/>
              <w:spacing w:before="100" w:beforeAutospacing="1" w:after="100" w:afterAutospacing="1"/>
              <w:jc w:val="right"/>
              <w:rPr>
                <w:rFonts w:ascii="宋体" w:hAnsi="宋体" w:eastAsia="宋体" w:cs="宋体"/>
                <w:kern w:val="0"/>
                <w:sz w:val="24"/>
                <w:szCs w:val="24"/>
              </w:rPr>
            </w:pPr>
            <w:r>
              <w:rPr>
                <w:rFonts w:hint="eastAsia" w:ascii="方正书宋_GBK" w:hAnsi="宋体" w:eastAsia="方正书宋_GBK" w:cs="宋体"/>
                <w:b/>
                <w:bCs/>
                <w:color w:val="000000"/>
                <w:kern w:val="0"/>
                <w:szCs w:val="21"/>
              </w:rPr>
              <w:t> </w:t>
            </w:r>
          </w:p>
        </w:tc>
        <w:tc>
          <w:tcPr>
            <w:tcW w:w="812" w:type="dxa"/>
            <w:tcBorders>
              <w:tl2br w:val="nil"/>
              <w:tr2bl w:val="nil"/>
            </w:tcBorders>
            <w:vAlign w:val="center"/>
          </w:tcPr>
          <w:p>
            <w:pPr>
              <w:widowControl/>
              <w:spacing w:before="100" w:beforeAutospacing="1" w:after="100" w:afterAutospacing="1"/>
              <w:jc w:val="right"/>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 </w:t>
            </w:r>
          </w:p>
        </w:tc>
        <w:tc>
          <w:tcPr>
            <w:tcW w:w="1020" w:type="dxa"/>
            <w:tcBorders>
              <w:tl2br w:val="nil"/>
              <w:tr2bl w:val="nil"/>
            </w:tcBorders>
            <w:vAlign w:val="center"/>
          </w:tcPr>
          <w:p>
            <w:pPr>
              <w:widowControl/>
              <w:spacing w:before="100" w:beforeAutospacing="1" w:after="100" w:afterAutospacing="1"/>
              <w:jc w:val="right"/>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 </w:t>
            </w:r>
          </w:p>
        </w:tc>
        <w:tc>
          <w:tcPr>
            <w:tcW w:w="1012" w:type="dxa"/>
            <w:tcBorders>
              <w:tl2br w:val="nil"/>
              <w:tr2bl w:val="nil"/>
            </w:tcBorders>
            <w:vAlign w:val="center"/>
          </w:tcPr>
          <w:p>
            <w:pPr>
              <w:widowControl/>
              <w:spacing w:before="100" w:beforeAutospacing="1" w:after="100" w:afterAutospacing="1"/>
              <w:jc w:val="right"/>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 </w:t>
            </w:r>
          </w:p>
        </w:tc>
        <w:tc>
          <w:tcPr>
            <w:tcW w:w="1020" w:type="dxa"/>
            <w:tcBorders>
              <w:tl2br w:val="nil"/>
              <w:tr2bl w:val="nil"/>
            </w:tcBorders>
            <w:vAlign w:val="center"/>
          </w:tcPr>
          <w:p>
            <w:pPr>
              <w:widowControl/>
              <w:spacing w:before="100" w:beforeAutospacing="1" w:after="100" w:afterAutospacing="1"/>
              <w:jc w:val="right"/>
              <w:textAlignment w:val="center"/>
              <w:rPr>
                <w:rFonts w:ascii="宋体" w:hAnsi="宋体" w:eastAsia="宋体" w:cs="宋体"/>
                <w:kern w:val="0"/>
                <w:sz w:val="24"/>
                <w:szCs w:val="24"/>
              </w:rPr>
            </w:pPr>
            <w:r>
              <w:rPr>
                <w:rFonts w:hint="eastAsia" w:ascii="方正书宋_GBK" w:hAnsi="宋体" w:eastAsia="方正书宋_GBK" w:cs="宋体"/>
                <w:b/>
                <w:bCs/>
                <w:color w:val="000000"/>
                <w:kern w:val="0"/>
                <w:szCs w:val="21"/>
              </w:rPr>
              <w:t> </w:t>
            </w:r>
          </w:p>
        </w:tc>
        <w:tc>
          <w:tcPr>
            <w:tcW w:w="1009" w:type="dxa"/>
            <w:tcBorders>
              <w:tl2br w:val="nil"/>
              <w:tr2bl w:val="nil"/>
            </w:tcBorders>
            <w:vAlign w:val="center"/>
          </w:tcPr>
          <w:p>
            <w:pPr>
              <w:widowControl/>
              <w:spacing w:before="100" w:beforeAutospacing="1" w:after="100" w:afterAutospacing="1"/>
              <w:jc w:val="right"/>
              <w:rPr>
                <w:rFonts w:ascii="宋体" w:hAnsi="宋体" w:eastAsia="宋体" w:cs="宋体"/>
                <w:kern w:val="0"/>
                <w:sz w:val="24"/>
                <w:szCs w:val="24"/>
              </w:rPr>
            </w:pPr>
            <w:r>
              <w:rPr>
                <w:rFonts w:hint="eastAsia" w:ascii="方正书宋_GBK" w:hAnsi="宋体" w:eastAsia="方正书宋_GBK" w:cs="宋体"/>
                <w:b/>
                <w:bCs/>
                <w:color w:val="000000"/>
                <w:kern w:val="0"/>
                <w:szCs w:val="21"/>
              </w:rPr>
              <w:t> </w:t>
            </w:r>
          </w:p>
        </w:tc>
        <w:tc>
          <w:tcPr>
            <w:tcW w:w="1129" w:type="dxa"/>
            <w:tcBorders>
              <w:tl2br w:val="nil"/>
              <w:tr2bl w:val="nil"/>
            </w:tcBorders>
            <w:vAlign w:val="center"/>
          </w:tcPr>
          <w:p>
            <w:pPr>
              <w:widowControl/>
              <w:spacing w:before="100" w:beforeAutospacing="1" w:after="100" w:afterAutospacing="1"/>
              <w:jc w:val="right"/>
              <w:rPr>
                <w:rFonts w:ascii="宋体" w:hAnsi="宋体" w:eastAsia="宋体" w:cs="宋体"/>
                <w:kern w:val="0"/>
                <w:sz w:val="24"/>
                <w:szCs w:val="24"/>
              </w:rPr>
            </w:pPr>
            <w:r>
              <w:rPr>
                <w:rFonts w:hint="eastAsia" w:ascii="方正书宋_GBK" w:hAnsi="宋体" w:eastAsia="方正书宋_GBK" w:cs="宋体"/>
                <w:b/>
                <w:bCs/>
                <w:color w:val="000000"/>
                <w:kern w:val="0"/>
                <w:szCs w:val="21"/>
              </w:rPr>
              <w:t> </w:t>
            </w:r>
          </w:p>
        </w:tc>
        <w:tc>
          <w:tcPr>
            <w:tcW w:w="1099" w:type="dxa"/>
            <w:tcBorders>
              <w:tl2br w:val="nil"/>
              <w:tr2bl w:val="nil"/>
            </w:tcBorders>
            <w:vAlign w:val="center"/>
          </w:tcPr>
          <w:p>
            <w:pPr>
              <w:widowControl/>
              <w:spacing w:before="100" w:beforeAutospacing="1" w:after="100" w:afterAutospacing="1"/>
              <w:jc w:val="right"/>
              <w:rPr>
                <w:rFonts w:ascii="宋体" w:hAnsi="宋体" w:eastAsia="宋体" w:cs="宋体"/>
                <w:kern w:val="0"/>
                <w:sz w:val="24"/>
                <w:szCs w:val="24"/>
              </w:rPr>
            </w:pPr>
            <w:r>
              <w:rPr>
                <w:rFonts w:hint="eastAsia" w:ascii="方正书宋_GBK" w:hAnsi="宋体" w:eastAsia="方正书宋_GBK" w:cs="宋体"/>
                <w:b/>
                <w:bCs/>
                <w:color w:val="000000"/>
                <w:kern w:val="0"/>
                <w:szCs w:val="21"/>
              </w:rPr>
              <w:t> </w:t>
            </w:r>
          </w:p>
        </w:tc>
      </w:tr>
    </w:tbl>
    <w:p>
      <w:pPr>
        <w:widowControl/>
        <w:spacing w:before="100" w:beforeAutospacing="1" w:after="100" w:afterAutospacing="1" w:line="580" w:lineRule="atLeast"/>
        <w:ind w:firstLine="640"/>
        <w:jc w:val="left"/>
        <w:rPr>
          <w:rFonts w:ascii="微软雅黑" w:hAnsi="微软雅黑" w:eastAsia="微软雅黑" w:cs="宋体"/>
          <w:color w:val="000000"/>
          <w:kern w:val="0"/>
          <w:sz w:val="24"/>
          <w:szCs w:val="24"/>
        </w:rPr>
      </w:pPr>
      <w:r>
        <w:rPr>
          <w:rFonts w:hint="eastAsia" w:ascii="仿宋_GB2312" w:hAnsi="微软雅黑" w:eastAsia="仿宋_GB2312" w:cs="宋体"/>
          <w:color w:val="000000"/>
          <w:kern w:val="0"/>
          <w:sz w:val="32"/>
          <w:szCs w:val="32"/>
        </w:rPr>
        <w:t>2018年度我单位无政府采购预算，空表列示。</w:t>
      </w: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七、国有资产信息</w:t>
      </w:r>
    </w:p>
    <w:p>
      <w:pPr>
        <w:ind w:firstLine="640" w:firstLineChars="200"/>
        <w:rPr>
          <w:rFonts w:ascii="仿宋" w:hAnsi="仿宋" w:eastAsia="仿宋" w:cs="仿宋"/>
          <w:sz w:val="32"/>
          <w:szCs w:val="32"/>
        </w:rPr>
      </w:pPr>
      <w:r>
        <w:rPr>
          <w:rFonts w:hint="eastAsia" w:ascii="仿宋" w:hAnsi="仿宋" w:eastAsia="仿宋" w:cs="仿宋"/>
          <w:sz w:val="32"/>
          <w:szCs w:val="32"/>
        </w:rPr>
        <w:t>河北省财政厅（含所属单位）上年末固定资产金额为232.16万元（详见下表）。</w:t>
      </w:r>
    </w:p>
    <w:tbl>
      <w:tblPr>
        <w:tblStyle w:val="12"/>
        <w:tblW w:w="1348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24"/>
        <w:gridCol w:w="3155"/>
        <w:gridCol w:w="51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vAlign w:val="center"/>
          </w:tcPr>
          <w:p>
            <w:pPr>
              <w:widowControl/>
              <w:jc w:val="center"/>
              <w:rPr>
                <w:rFonts w:ascii="宋体" w:hAnsi="宋体" w:eastAsia="宋体" w:cs="宋体"/>
                <w:b/>
                <w:bCs/>
                <w:kern w:val="0"/>
                <w:sz w:val="32"/>
                <w:szCs w:val="32"/>
              </w:rPr>
            </w:pPr>
            <w:r>
              <w:rPr>
                <w:rFonts w:hint="eastAsia" w:ascii="宋体" w:hAnsi="宋体" w:eastAsia="宋体" w:cs="宋体"/>
                <w:b/>
                <w:bCs/>
                <w:kern w:val="0"/>
                <w:sz w:val="32"/>
                <w:szCs w:val="32"/>
              </w:rPr>
              <w:t>司法局部门固定资产占用情况表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编制部门：司法局</w:t>
            </w:r>
          </w:p>
        </w:tc>
        <w:tc>
          <w:tcPr>
            <w:tcW w:w="5103" w:type="dxa"/>
            <w:tcBorders>
              <w:top w:val="nil"/>
              <w:left w:val="nil"/>
              <w:bottom w:val="nil"/>
              <w:right w:val="nil"/>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截止时间：2018年12月31日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项   目</w:t>
            </w:r>
          </w:p>
        </w:tc>
        <w:tc>
          <w:tcPr>
            <w:tcW w:w="3155"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数量</w:t>
            </w:r>
          </w:p>
        </w:tc>
        <w:tc>
          <w:tcPr>
            <w:tcW w:w="5103"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价值（金额单位：万元）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2"/>
              </w:rPr>
            </w:pPr>
            <w:r>
              <w:rPr>
                <w:rFonts w:hint="eastAsia" w:ascii="宋体" w:hAnsi="宋体" w:eastAsia="宋体" w:cs="宋体"/>
                <w:kern w:val="0"/>
                <w:sz w:val="22"/>
              </w:rPr>
              <w:t>资产总额</w:t>
            </w:r>
          </w:p>
        </w:tc>
        <w:tc>
          <w:tcPr>
            <w:tcW w:w="3155"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 w:val="22"/>
              </w:rPr>
            </w:pPr>
            <w:r>
              <w:rPr>
                <w:rFonts w:ascii="Times New Roman" w:hAnsi="Times New Roman" w:eastAsia="宋体" w:cs="Times New Roman"/>
                <w:kern w:val="0"/>
                <w:sz w:val="22"/>
              </w:rPr>
              <w:t>——</w:t>
            </w:r>
          </w:p>
        </w:tc>
        <w:tc>
          <w:tcPr>
            <w:tcW w:w="5103"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cs="Times New Roman"/>
                <w:kern w:val="0"/>
                <w:sz w:val="22"/>
              </w:rPr>
            </w:pPr>
            <w:r>
              <w:rPr>
                <w:rFonts w:hint="eastAsia" w:ascii="Times New Roman" w:hAnsi="Times New Roman" w:eastAsia="宋体" w:cs="Times New Roman"/>
                <w:kern w:val="0"/>
                <w:sz w:val="22"/>
              </w:rPr>
              <w:t>232.16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1、房屋（平方米）</w:t>
            </w:r>
          </w:p>
        </w:tc>
        <w:tc>
          <w:tcPr>
            <w:tcW w:w="3155" w:type="dxa"/>
            <w:tcBorders>
              <w:top w:val="nil"/>
              <w:left w:val="nil"/>
              <w:bottom w:val="single" w:color="auto" w:sz="4" w:space="0"/>
              <w:right w:val="single" w:color="auto" w:sz="4" w:space="0"/>
            </w:tcBorders>
            <w:vAlign w:val="center"/>
          </w:tcPr>
          <w:p>
            <w:pPr>
              <w:jc w:val="center"/>
              <w:rPr>
                <w:rFonts w:ascii="Times New Roman" w:hAnsi="Times New Roman" w:cs="Times New Roman"/>
                <w:sz w:val="22"/>
              </w:rPr>
            </w:pPr>
            <w:r>
              <w:rPr>
                <w:rFonts w:hint="eastAsia" w:ascii="Times New Roman" w:hAnsi="Times New Roman" w:cs="Times New Roman"/>
                <w:sz w:val="22"/>
              </w:rPr>
              <w:t>0</w:t>
            </w:r>
          </w:p>
        </w:tc>
        <w:tc>
          <w:tcPr>
            <w:tcW w:w="5103" w:type="dxa"/>
            <w:tcBorders>
              <w:top w:val="nil"/>
              <w:left w:val="nil"/>
              <w:bottom w:val="single" w:color="auto" w:sz="4" w:space="0"/>
              <w:right w:val="single" w:color="auto" w:sz="4" w:space="0"/>
            </w:tcBorders>
            <w:vAlign w:val="center"/>
          </w:tcPr>
          <w:p>
            <w:pPr>
              <w:jc w:val="center"/>
              <w:rPr>
                <w:rFonts w:ascii="Times New Roman" w:hAnsi="Times New Roman" w:cs="Times New Roman"/>
                <w:sz w:val="22"/>
              </w:rPr>
            </w:pPr>
            <w:r>
              <w:rPr>
                <w:rFonts w:hint="eastAsia" w:ascii="Times New Roman" w:hAnsi="Times New Roman" w:cs="Times New Roman"/>
                <w:sz w:val="2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其中：办公用房（平方米）</w:t>
            </w:r>
          </w:p>
        </w:tc>
        <w:tc>
          <w:tcPr>
            <w:tcW w:w="3155" w:type="dxa"/>
            <w:tcBorders>
              <w:top w:val="nil"/>
              <w:left w:val="nil"/>
              <w:bottom w:val="single" w:color="auto" w:sz="4" w:space="0"/>
              <w:right w:val="single" w:color="auto" w:sz="4" w:space="0"/>
            </w:tcBorders>
            <w:vAlign w:val="center"/>
          </w:tcPr>
          <w:p>
            <w:pPr>
              <w:jc w:val="center"/>
              <w:rPr>
                <w:rFonts w:ascii="Times New Roman" w:hAnsi="Times New Roman" w:cs="Times New Roman"/>
                <w:sz w:val="22"/>
              </w:rPr>
            </w:pPr>
            <w:r>
              <w:rPr>
                <w:rFonts w:hint="eastAsia" w:ascii="Times New Roman" w:hAnsi="Times New Roman" w:cs="Times New Roman"/>
                <w:sz w:val="22"/>
              </w:rPr>
              <w:t>2372.58</w:t>
            </w:r>
          </w:p>
        </w:tc>
        <w:tc>
          <w:tcPr>
            <w:tcW w:w="5103" w:type="dxa"/>
            <w:tcBorders>
              <w:top w:val="nil"/>
              <w:left w:val="nil"/>
              <w:bottom w:val="single" w:color="auto" w:sz="4" w:space="0"/>
              <w:right w:val="single" w:color="auto" w:sz="4" w:space="0"/>
            </w:tcBorders>
            <w:vAlign w:val="center"/>
          </w:tcPr>
          <w:p>
            <w:pPr>
              <w:jc w:val="center"/>
              <w:rPr>
                <w:rFonts w:ascii="Times New Roman" w:hAnsi="Times New Roman" w:cs="Times New Roman"/>
                <w:sz w:val="22"/>
              </w:rPr>
            </w:pPr>
            <w:r>
              <w:rPr>
                <w:rFonts w:hint="eastAsia" w:ascii="Times New Roman" w:hAnsi="Times New Roman" w:cs="Times New Roman"/>
                <w:sz w:val="2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2、车辆（台、辆）</w:t>
            </w:r>
          </w:p>
        </w:tc>
        <w:tc>
          <w:tcPr>
            <w:tcW w:w="3155" w:type="dxa"/>
            <w:tcBorders>
              <w:top w:val="nil"/>
              <w:left w:val="nil"/>
              <w:bottom w:val="single" w:color="auto" w:sz="4" w:space="0"/>
              <w:right w:val="single" w:color="auto" w:sz="4" w:space="0"/>
            </w:tcBorders>
            <w:vAlign w:val="center"/>
          </w:tcPr>
          <w:p>
            <w:pPr>
              <w:jc w:val="center"/>
              <w:rPr>
                <w:rFonts w:ascii="Times New Roman" w:hAnsi="Times New Roman" w:cs="Times New Roman"/>
                <w:sz w:val="22"/>
              </w:rPr>
            </w:pPr>
            <w:r>
              <w:rPr>
                <w:rFonts w:hint="eastAsia" w:ascii="Times New Roman" w:hAnsi="Times New Roman" w:cs="Times New Roman"/>
                <w:sz w:val="22"/>
              </w:rPr>
              <w:t>5</w:t>
            </w:r>
          </w:p>
        </w:tc>
        <w:tc>
          <w:tcPr>
            <w:tcW w:w="5103" w:type="dxa"/>
            <w:tcBorders>
              <w:top w:val="nil"/>
              <w:left w:val="nil"/>
              <w:bottom w:val="single" w:color="auto" w:sz="4" w:space="0"/>
              <w:right w:val="single" w:color="auto" w:sz="4" w:space="0"/>
            </w:tcBorders>
            <w:vAlign w:val="center"/>
          </w:tcPr>
          <w:p>
            <w:pPr>
              <w:jc w:val="center"/>
              <w:rPr>
                <w:rFonts w:ascii="Times New Roman" w:hAnsi="Times New Roman" w:cs="Times New Roman"/>
                <w:sz w:val="22"/>
              </w:rPr>
            </w:pPr>
            <w:r>
              <w:rPr>
                <w:rFonts w:hint="eastAsia" w:ascii="Times New Roman" w:hAnsi="Times New Roman" w:cs="Times New Roman"/>
                <w:sz w:val="22"/>
              </w:rPr>
              <w:t>74.11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3、单价在20万元以上的设备</w:t>
            </w:r>
          </w:p>
        </w:tc>
        <w:tc>
          <w:tcPr>
            <w:tcW w:w="3155" w:type="dxa"/>
            <w:tcBorders>
              <w:top w:val="nil"/>
              <w:left w:val="nil"/>
              <w:bottom w:val="single" w:color="auto" w:sz="4" w:space="0"/>
              <w:right w:val="single" w:color="auto" w:sz="4" w:space="0"/>
            </w:tcBorders>
            <w:vAlign w:val="center"/>
          </w:tcPr>
          <w:p>
            <w:pPr>
              <w:jc w:val="center"/>
              <w:rPr>
                <w:rFonts w:ascii="Times New Roman" w:hAnsi="Times New Roman" w:cs="Times New Roman"/>
                <w:sz w:val="22"/>
              </w:rPr>
            </w:pPr>
            <w:r>
              <w:rPr>
                <w:rFonts w:hint="eastAsia" w:ascii="Times New Roman" w:hAnsi="Times New Roman" w:cs="Times New Roman"/>
                <w:sz w:val="22"/>
              </w:rPr>
              <w:t>0</w:t>
            </w:r>
          </w:p>
        </w:tc>
        <w:tc>
          <w:tcPr>
            <w:tcW w:w="5103" w:type="dxa"/>
            <w:tcBorders>
              <w:top w:val="nil"/>
              <w:left w:val="nil"/>
              <w:bottom w:val="single" w:color="auto" w:sz="4" w:space="0"/>
              <w:right w:val="single" w:color="auto" w:sz="4" w:space="0"/>
            </w:tcBorders>
            <w:vAlign w:val="center"/>
          </w:tcPr>
          <w:p>
            <w:pPr>
              <w:jc w:val="center"/>
              <w:rPr>
                <w:rFonts w:ascii="Times New Roman" w:hAnsi="Times New Roman" w:cs="Times New Roman"/>
                <w:sz w:val="22"/>
              </w:rPr>
            </w:pPr>
            <w:r>
              <w:rPr>
                <w:rFonts w:hint="eastAsia" w:ascii="Times New Roman" w:hAnsi="Times New Roman" w:cs="Times New Roman"/>
                <w:sz w:val="2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2"/>
              </w:rPr>
            </w:pPr>
            <w:r>
              <w:rPr>
                <w:rFonts w:hint="eastAsia" w:ascii="宋体" w:hAnsi="宋体" w:eastAsia="宋体" w:cs="宋体"/>
                <w:kern w:val="0"/>
                <w:sz w:val="22"/>
              </w:rPr>
              <w:t>4、其他固定资产</w:t>
            </w:r>
          </w:p>
        </w:tc>
        <w:tc>
          <w:tcPr>
            <w:tcW w:w="3155" w:type="dxa"/>
            <w:tcBorders>
              <w:top w:val="nil"/>
              <w:left w:val="nil"/>
              <w:bottom w:val="single" w:color="auto" w:sz="4" w:space="0"/>
              <w:right w:val="single" w:color="auto" w:sz="4" w:space="0"/>
            </w:tcBorders>
            <w:vAlign w:val="center"/>
          </w:tcPr>
          <w:p>
            <w:pPr>
              <w:jc w:val="center"/>
              <w:rPr>
                <w:rFonts w:ascii="Times New Roman" w:hAnsi="Times New Roman" w:cs="Times New Roman"/>
                <w:sz w:val="22"/>
              </w:rPr>
            </w:pPr>
          </w:p>
        </w:tc>
        <w:tc>
          <w:tcPr>
            <w:tcW w:w="5103" w:type="dxa"/>
            <w:tcBorders>
              <w:top w:val="nil"/>
              <w:left w:val="nil"/>
              <w:bottom w:val="single" w:color="auto" w:sz="4" w:space="0"/>
              <w:right w:val="single" w:color="auto" w:sz="4" w:space="0"/>
            </w:tcBorders>
            <w:vAlign w:val="center"/>
          </w:tcPr>
          <w:p>
            <w:pPr>
              <w:jc w:val="center"/>
              <w:rPr>
                <w:rFonts w:ascii="Times New Roman" w:hAnsi="Times New Roman" w:cs="Times New Roman"/>
                <w:sz w:val="22"/>
              </w:rPr>
            </w:pPr>
            <w:r>
              <w:rPr>
                <w:rFonts w:hint="eastAsia" w:ascii="Times New Roman" w:hAnsi="Times New Roman" w:cs="Times New Roman"/>
                <w:sz w:val="22"/>
              </w:rPr>
              <w:t>158.05</w:t>
            </w:r>
          </w:p>
        </w:tc>
      </w:tr>
    </w:tbl>
    <w:p>
      <w:pPr>
        <w:autoSpaceDE w:val="0"/>
        <w:autoSpaceDN w:val="0"/>
        <w:adjustRightInd w:val="0"/>
        <w:ind w:left="198" w:firstLine="640" w:firstLineChars="200"/>
        <w:jc w:val="left"/>
        <w:rPr>
          <w:rFonts w:hint="eastAsia" w:ascii="黑体" w:hAnsi="黑体" w:eastAsia="黑体" w:cs="Times New Roman"/>
          <w:sz w:val="32"/>
          <w:szCs w:val="32"/>
        </w:rPr>
      </w:pPr>
    </w:p>
    <w:p>
      <w:pPr>
        <w:autoSpaceDE w:val="0"/>
        <w:autoSpaceDN w:val="0"/>
        <w:adjustRightInd w:val="0"/>
        <w:ind w:left="198" w:firstLine="640" w:firstLineChars="200"/>
        <w:jc w:val="left"/>
        <w:rPr>
          <w:rFonts w:hint="eastAsia" w:ascii="黑体" w:hAnsi="黑体" w:eastAsia="黑体" w:cs="Times New Roman"/>
          <w:sz w:val="32"/>
          <w:szCs w:val="32"/>
        </w:rPr>
      </w:pP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八、名词解释</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1、一般公共预算拨款收入：指省级财政当年拨付的资金。</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2、事业收入：指事业单位开展专业业务活动及辅助活动所取得的收入。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3、其他收入：指除“一般公共预算拨款收入”、“事业收入”等以外的收入。主要是按规定动用的租房收入、存款利息收入等。</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4、基本支出：指为保障机构正常运转、完成日常工作任务而发生的人员支出和公用支出。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5、项目支出：指在基本支出之外为完成特定行政任务和事业发展目标所发生的支出。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6、上缴上级支出：指下级单位上缴上级的支出。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9、上年结转：指以前年度尚未完成、结转到本年仍按原规定用途继续使用的资金。</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10、事业单位经营支出：指事业单位在专业业务活动及其辅助活动之外开展非独立核算经营活动发生的支出。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九、其他需要说明的事项</w:t>
      </w:r>
    </w:p>
    <w:p>
      <w:pPr>
        <w:ind w:firstLine="640" w:firstLineChars="200"/>
        <w:rPr>
          <w:rFonts w:ascii="仿宋" w:hAnsi="仿宋" w:eastAsia="仿宋" w:cs="仿宋"/>
          <w:sz w:val="32"/>
          <w:szCs w:val="32"/>
        </w:rPr>
      </w:pPr>
      <w:r>
        <w:rPr>
          <w:rFonts w:hint="eastAsia" w:ascii="仿宋_GB2312" w:hAnsi="仿宋_GB2312" w:eastAsia="仿宋_GB2312" w:cs="仿宋_GB2312"/>
          <w:sz w:val="32"/>
          <w:szCs w:val="32"/>
        </w:rPr>
        <w:t>我部门无其他需要说明的事项。</w:t>
      </w:r>
      <w:bookmarkStart w:id="2" w:name="_GoBack"/>
      <w:bookmarkEnd w:id="2"/>
    </w:p>
    <w:sectPr>
      <w:pgSz w:w="16838" w:h="11906" w:orient="landscape"/>
      <w:pgMar w:top="1800" w:right="1440" w:bottom="1800" w:left="1440"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方正小标宋_GBK">
    <w:altName w:val="微软雅黑"/>
    <w:panose1 w:val="00000000000000000000"/>
    <w:charset w:val="86"/>
    <w:family w:val="auto"/>
    <w:pitch w:val="default"/>
    <w:sig w:usb0="00000000" w:usb1="00000000" w:usb2="00000010" w:usb3="00000000" w:csb0="00040000" w:csb1="00000000"/>
  </w:font>
  <w:font w:name="仿宋">
    <w:altName w:val="仿宋_GB2312"/>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书宋_GBK">
    <w:altName w:val="微软雅黑"/>
    <w:panose1 w:val="00000000000000000000"/>
    <w:charset w:val="86"/>
    <w:family w:val="auto"/>
    <w:pitch w:val="default"/>
    <w:sig w:usb0="00000000" w:usb1="00000000" w:usb2="00000010" w:usb3="00000000" w:csb0="00040000" w:csb1="00000000"/>
  </w:font>
  <w:font w:name="方正楷体_GBK">
    <w:altName w:val="宋体"/>
    <w:panose1 w:val="00000000000000000000"/>
    <w:charset w:val="86"/>
    <w:family w:val="auto"/>
    <w:pitch w:val="default"/>
    <w:sig w:usb0="00000000" w:usb1="00000000" w:usb2="00000000" w:usb3="00000000" w:csb0="00040001" w:csb1="00000000"/>
  </w:font>
  <w:font w:name="MS Gothic">
    <w:panose1 w:val="020B0609070205080204"/>
    <w:charset w:val="80"/>
    <w:family w:val="modern"/>
    <w:pitch w:val="default"/>
    <w:sig w:usb0="E00002FF" w:usb1="6AC7FDFB" w:usb2="00000012" w:usb3="00000000" w:csb0="4002009F" w:csb1="DFD7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footnote w:id="0">
    <w:p>
      <w:pPr>
        <w:pStyle w:val="6"/>
        <w:rPr>
          <w:rFonts w:hint="eastAsia"/>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F66032"/>
    <w:rsid w:val="00034786"/>
    <w:rsid w:val="00037AF6"/>
    <w:rsid w:val="00042F57"/>
    <w:rsid w:val="00055F5C"/>
    <w:rsid w:val="0006483E"/>
    <w:rsid w:val="00075D5F"/>
    <w:rsid w:val="00077D10"/>
    <w:rsid w:val="0008102F"/>
    <w:rsid w:val="000B529B"/>
    <w:rsid w:val="000C3A19"/>
    <w:rsid w:val="00110107"/>
    <w:rsid w:val="001245BB"/>
    <w:rsid w:val="001251A3"/>
    <w:rsid w:val="00165294"/>
    <w:rsid w:val="0017763C"/>
    <w:rsid w:val="001B4EF3"/>
    <w:rsid w:val="001F7873"/>
    <w:rsid w:val="00241FD4"/>
    <w:rsid w:val="00251B12"/>
    <w:rsid w:val="00296113"/>
    <w:rsid w:val="002A673A"/>
    <w:rsid w:val="002C07BE"/>
    <w:rsid w:val="002C5E13"/>
    <w:rsid w:val="002C62BC"/>
    <w:rsid w:val="002E0EB8"/>
    <w:rsid w:val="002F3E58"/>
    <w:rsid w:val="0030542C"/>
    <w:rsid w:val="00311B7A"/>
    <w:rsid w:val="00323017"/>
    <w:rsid w:val="003512C1"/>
    <w:rsid w:val="00372FA3"/>
    <w:rsid w:val="003D417F"/>
    <w:rsid w:val="003F60E9"/>
    <w:rsid w:val="00404145"/>
    <w:rsid w:val="004248B8"/>
    <w:rsid w:val="00424943"/>
    <w:rsid w:val="0043175C"/>
    <w:rsid w:val="00437296"/>
    <w:rsid w:val="00451590"/>
    <w:rsid w:val="00451871"/>
    <w:rsid w:val="004631FC"/>
    <w:rsid w:val="004706DE"/>
    <w:rsid w:val="00472923"/>
    <w:rsid w:val="00474E1A"/>
    <w:rsid w:val="00496109"/>
    <w:rsid w:val="004B0C3A"/>
    <w:rsid w:val="004D5788"/>
    <w:rsid w:val="004E3066"/>
    <w:rsid w:val="004E74CD"/>
    <w:rsid w:val="005028DE"/>
    <w:rsid w:val="00516E04"/>
    <w:rsid w:val="00523B8D"/>
    <w:rsid w:val="00565588"/>
    <w:rsid w:val="00572067"/>
    <w:rsid w:val="00573562"/>
    <w:rsid w:val="00590ECE"/>
    <w:rsid w:val="00592ADD"/>
    <w:rsid w:val="005D3BDF"/>
    <w:rsid w:val="0060003F"/>
    <w:rsid w:val="00605EE3"/>
    <w:rsid w:val="00614A29"/>
    <w:rsid w:val="00643AA7"/>
    <w:rsid w:val="00673D76"/>
    <w:rsid w:val="00674CD7"/>
    <w:rsid w:val="00677138"/>
    <w:rsid w:val="006854F0"/>
    <w:rsid w:val="006B1C4A"/>
    <w:rsid w:val="006B610D"/>
    <w:rsid w:val="006E49F5"/>
    <w:rsid w:val="006E7922"/>
    <w:rsid w:val="006F1383"/>
    <w:rsid w:val="007013C8"/>
    <w:rsid w:val="00705B09"/>
    <w:rsid w:val="00717B1E"/>
    <w:rsid w:val="00753836"/>
    <w:rsid w:val="0075393C"/>
    <w:rsid w:val="00754592"/>
    <w:rsid w:val="00771ED5"/>
    <w:rsid w:val="00776C08"/>
    <w:rsid w:val="007C219A"/>
    <w:rsid w:val="007D5D95"/>
    <w:rsid w:val="007E1DA8"/>
    <w:rsid w:val="007F6C26"/>
    <w:rsid w:val="00813208"/>
    <w:rsid w:val="008205E2"/>
    <w:rsid w:val="008334AE"/>
    <w:rsid w:val="00836FED"/>
    <w:rsid w:val="0083724E"/>
    <w:rsid w:val="00845CD2"/>
    <w:rsid w:val="00852B0D"/>
    <w:rsid w:val="00881692"/>
    <w:rsid w:val="00883D1A"/>
    <w:rsid w:val="008A25C2"/>
    <w:rsid w:val="008A3399"/>
    <w:rsid w:val="008A6576"/>
    <w:rsid w:val="008B3CC5"/>
    <w:rsid w:val="008B52CD"/>
    <w:rsid w:val="008D7C23"/>
    <w:rsid w:val="008E4261"/>
    <w:rsid w:val="008F4662"/>
    <w:rsid w:val="00905D08"/>
    <w:rsid w:val="00922AEB"/>
    <w:rsid w:val="00925753"/>
    <w:rsid w:val="009425F4"/>
    <w:rsid w:val="0096040E"/>
    <w:rsid w:val="00966C5C"/>
    <w:rsid w:val="00973104"/>
    <w:rsid w:val="00995BF0"/>
    <w:rsid w:val="009A16D5"/>
    <w:rsid w:val="009A353D"/>
    <w:rsid w:val="009B0B77"/>
    <w:rsid w:val="009B511E"/>
    <w:rsid w:val="00A04089"/>
    <w:rsid w:val="00A44E3D"/>
    <w:rsid w:val="00A72D2E"/>
    <w:rsid w:val="00A74447"/>
    <w:rsid w:val="00A74CE5"/>
    <w:rsid w:val="00A81CA6"/>
    <w:rsid w:val="00A911E7"/>
    <w:rsid w:val="00A939D9"/>
    <w:rsid w:val="00B07D9E"/>
    <w:rsid w:val="00B20712"/>
    <w:rsid w:val="00B43238"/>
    <w:rsid w:val="00B45DD3"/>
    <w:rsid w:val="00B52632"/>
    <w:rsid w:val="00B727A9"/>
    <w:rsid w:val="00B75216"/>
    <w:rsid w:val="00B91D52"/>
    <w:rsid w:val="00B9490F"/>
    <w:rsid w:val="00BA1ACD"/>
    <w:rsid w:val="00BD09F8"/>
    <w:rsid w:val="00C001A5"/>
    <w:rsid w:val="00C3211A"/>
    <w:rsid w:val="00C41E08"/>
    <w:rsid w:val="00CA7176"/>
    <w:rsid w:val="00CB3D48"/>
    <w:rsid w:val="00CB4665"/>
    <w:rsid w:val="00CC75B0"/>
    <w:rsid w:val="00CD2773"/>
    <w:rsid w:val="00CE143B"/>
    <w:rsid w:val="00CF1D31"/>
    <w:rsid w:val="00D0024A"/>
    <w:rsid w:val="00D27003"/>
    <w:rsid w:val="00DB488C"/>
    <w:rsid w:val="00DB4A9B"/>
    <w:rsid w:val="00DE2CE2"/>
    <w:rsid w:val="00E167C7"/>
    <w:rsid w:val="00E24037"/>
    <w:rsid w:val="00E2482E"/>
    <w:rsid w:val="00E73D47"/>
    <w:rsid w:val="00EC47F6"/>
    <w:rsid w:val="00EE156D"/>
    <w:rsid w:val="00EE65B8"/>
    <w:rsid w:val="00F149E2"/>
    <w:rsid w:val="00F66032"/>
    <w:rsid w:val="00F87C1E"/>
    <w:rsid w:val="00F958C2"/>
    <w:rsid w:val="0D954F56"/>
    <w:rsid w:val="21225A4C"/>
    <w:rsid w:val="36801CC7"/>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39" w:semiHidden="0" w:name="toc 1"/>
    <w:lsdException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qFormat="1" w:uiPriority="99" w:semiHidden="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99" w:semiHidden="0" w:name="footnote reference"/>
    <w:lsdException w:uiPriority="0" w:name="annotation reference"/>
    <w:lsdException w:uiPriority="0" w:name="line number"/>
    <w:lsdException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8">
    <w:name w:val="Default Paragraph Font"/>
    <w:unhideWhenUsed/>
    <w:uiPriority w:val="1"/>
  </w:style>
  <w:style w:type="table" w:default="1" w:styleId="12">
    <w:name w:val="Normal Table"/>
    <w:unhideWhenUsed/>
    <w:qFormat/>
    <w:uiPriority w:val="99"/>
    <w:tblPr>
      <w:tblStyle w:val="12"/>
      <w:tblLayout w:type="fixed"/>
      <w:tblCellMar>
        <w:top w:w="0" w:type="dxa"/>
        <w:left w:w="108" w:type="dxa"/>
        <w:bottom w:w="0" w:type="dxa"/>
        <w:right w:w="108" w:type="dxa"/>
      </w:tblCellMar>
    </w:tblPr>
    <w:tcPr>
      <w:textDirection w:val="lrTb"/>
    </w:tcPr>
  </w:style>
  <w:style w:type="paragraph" w:styleId="2">
    <w:name w:val="Balloon Text"/>
    <w:basedOn w:val="1"/>
    <w:link w:val="16"/>
    <w:unhideWhenUsed/>
    <w:uiPriority w:val="99"/>
    <w:rPr>
      <w:sz w:val="18"/>
      <w:szCs w:val="18"/>
    </w:rPr>
  </w:style>
  <w:style w:type="paragraph" w:styleId="3">
    <w:name w:val="footer"/>
    <w:basedOn w:val="1"/>
    <w:link w:val="15"/>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4"/>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uiPriority w:val="39"/>
    <w:rPr>
      <w:rFonts w:ascii="Times New Roman" w:hAnsi="Times New Roman" w:eastAsia="宋体" w:cs="Times New Roman"/>
      <w:szCs w:val="24"/>
    </w:rPr>
  </w:style>
  <w:style w:type="paragraph" w:styleId="6">
    <w:name w:val="footnote text"/>
    <w:basedOn w:val="1"/>
    <w:link w:val="17"/>
    <w:unhideWhenUsed/>
    <w:qFormat/>
    <w:uiPriority w:val="99"/>
    <w:pPr>
      <w:snapToGrid w:val="0"/>
      <w:jc w:val="left"/>
    </w:pPr>
    <w:rPr>
      <w:rFonts w:ascii="Calibri" w:hAnsi="Calibri" w:eastAsia="宋体" w:cs="Times New Roman"/>
      <w:sz w:val="18"/>
      <w:szCs w:val="18"/>
    </w:rPr>
  </w:style>
  <w:style w:type="paragraph" w:styleId="7">
    <w:name w:val="toc 2"/>
    <w:basedOn w:val="1"/>
    <w:next w:val="1"/>
    <w:uiPriority w:val="39"/>
    <w:pPr>
      <w:ind w:left="420" w:leftChars="200"/>
    </w:pPr>
    <w:rPr>
      <w:rFonts w:ascii="Times New Roman" w:hAnsi="Times New Roman" w:eastAsia="宋体" w:cs="Times New Roman"/>
      <w:szCs w:val="24"/>
    </w:rPr>
  </w:style>
  <w:style w:type="character" w:styleId="9">
    <w:name w:val="page number"/>
    <w:unhideWhenUsed/>
    <w:uiPriority w:val="99"/>
  </w:style>
  <w:style w:type="character" w:styleId="10">
    <w:name w:val="Hyperlink"/>
    <w:unhideWhenUsed/>
    <w:qFormat/>
    <w:uiPriority w:val="99"/>
    <w:rPr>
      <w:color w:val="0000FF"/>
      <w:u w:val="single"/>
    </w:rPr>
  </w:style>
  <w:style w:type="character" w:styleId="11">
    <w:name w:val="footnote reference"/>
    <w:unhideWhenUsed/>
    <w:uiPriority w:val="99"/>
    <w:rPr>
      <w:vertAlign w:val="superscript"/>
    </w:rPr>
  </w:style>
  <w:style w:type="paragraph" w:customStyle="1" w:styleId="13">
    <w:name w:val="Defaul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4">
    <w:name w:val="页眉 Char"/>
    <w:basedOn w:val="8"/>
    <w:link w:val="4"/>
    <w:uiPriority w:val="99"/>
    <w:rPr>
      <w:rFonts w:ascii="Times New Roman" w:hAnsi="Times New Roman" w:eastAsia="宋体" w:cs="Times New Roman"/>
      <w:sz w:val="18"/>
      <w:szCs w:val="18"/>
    </w:rPr>
  </w:style>
  <w:style w:type="character" w:customStyle="1" w:styleId="15">
    <w:name w:val="页脚 Char"/>
    <w:basedOn w:val="8"/>
    <w:link w:val="3"/>
    <w:uiPriority w:val="99"/>
    <w:rPr>
      <w:rFonts w:ascii="Times New Roman" w:hAnsi="Times New Roman" w:eastAsia="宋体" w:cs="Times New Roman"/>
      <w:sz w:val="18"/>
      <w:szCs w:val="18"/>
    </w:rPr>
  </w:style>
  <w:style w:type="character" w:customStyle="1" w:styleId="16">
    <w:name w:val="批注框文本 Char"/>
    <w:basedOn w:val="8"/>
    <w:link w:val="2"/>
    <w:semiHidden/>
    <w:uiPriority w:val="99"/>
    <w:rPr>
      <w:sz w:val="18"/>
      <w:szCs w:val="18"/>
    </w:rPr>
  </w:style>
  <w:style w:type="character" w:customStyle="1" w:styleId="17">
    <w:name w:val="脚注文本 Char"/>
    <w:basedOn w:val="8"/>
    <w:link w:val="6"/>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notes" Target="footnotes.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705</Words>
  <Characters>4019</Characters>
  <Lines>33</Lines>
  <Paragraphs>9</Paragraphs>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2019-01-15T00:52:00Z</dcterms:created>
  <dc:creator>guest</dc:creator>
  <cp:lastModifiedBy>gxz</cp:lastModifiedBy>
  <cp:lastPrinted>2017-11-09T01:12:00Z</cp:lastPrinted>
  <dcterms:modified xsi:type="dcterms:W3CDTF">2019-03-04T06:11:33Z</dcterms:modified>
  <dc:title>河北省财政厅2019年部门预算信息公开情况说明</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