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80" w:firstLineChars="200"/>
        <w:jc w:val="center"/>
        <w:rPr>
          <w:rFonts w:hint="eastAsia" w:ascii="Times New Roman" w:hAnsi="Times New Roman" w:eastAsia="方正小标宋_GBK" w:cs="Times New Roman"/>
          <w:sz w:val="44"/>
          <w:szCs w:val="44"/>
          <w:lang w:eastAsia="zh-CN"/>
        </w:rPr>
      </w:pPr>
      <w:r>
        <w:rPr>
          <w:rFonts w:hint="eastAsia" w:ascii="Times New Roman" w:hAnsi="Times New Roman" w:eastAsia="方正小标宋_GBK" w:cs="Times New Roman"/>
          <w:sz w:val="44"/>
          <w:szCs w:val="44"/>
          <w:lang w:eastAsia="zh-CN"/>
        </w:rPr>
        <w:t>石家庄市鹿泉区山尹村镇人民政府</w:t>
      </w:r>
    </w:p>
    <w:p>
      <w:pPr>
        <w:ind w:firstLine="880" w:firstLineChars="200"/>
        <w:jc w:val="center"/>
        <w:rPr>
          <w:rFonts w:hint="eastAsia" w:ascii="Times New Roman" w:hAnsi="Times New Roman" w:eastAsia="方正小标宋_GBK" w:cs="Times New Roman"/>
          <w:sz w:val="44"/>
          <w:szCs w:val="44"/>
        </w:rPr>
      </w:pPr>
      <w:r>
        <w:rPr>
          <w:rFonts w:ascii="Times New Roman" w:hAnsi="Times New Roman" w:eastAsia="方正小标宋_GBK" w:cs="Times New Roman"/>
          <w:sz w:val="44"/>
          <w:szCs w:val="44"/>
        </w:rPr>
        <w:t>201</w:t>
      </w:r>
      <w:r>
        <w:rPr>
          <w:rFonts w:hint="eastAsia" w:ascii="Times New Roman" w:hAnsi="Times New Roman" w:eastAsia="方正小标宋_GBK" w:cs="Times New Roman"/>
          <w:sz w:val="44"/>
          <w:szCs w:val="44"/>
        </w:rPr>
        <w:t>9</w:t>
      </w:r>
      <w:r>
        <w:rPr>
          <w:rFonts w:ascii="Times New Roman" w:hAnsi="Times New Roman" w:eastAsia="方正小标宋_GBK" w:cs="Times New Roman"/>
          <w:sz w:val="44"/>
          <w:szCs w:val="44"/>
        </w:rPr>
        <w:t>年部门预算信息公开</w:t>
      </w:r>
      <w:r>
        <w:rPr>
          <w:rFonts w:hint="eastAsia" w:ascii="Times New Roman" w:hAnsi="Times New Roman" w:eastAsia="方正小标宋_GBK" w:cs="Times New Roman"/>
          <w:sz w:val="44"/>
          <w:szCs w:val="44"/>
        </w:rPr>
        <w:t>情况说明</w:t>
      </w:r>
    </w:p>
    <w:p>
      <w:pPr>
        <w:ind w:firstLine="880" w:firstLineChars="200"/>
        <w:jc w:val="center"/>
        <w:rPr>
          <w:rFonts w:hint="eastAsia" w:ascii="Times New Roman" w:hAnsi="Times New Roman" w:eastAsia="方正小标宋_GBK" w:cs="Times New Roman"/>
          <w:sz w:val="44"/>
          <w:szCs w:val="44"/>
        </w:rPr>
      </w:pP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按照《预算法》、《地方预决算公开操作规程》和《河北省省级预算公开办法》规定，现将</w:t>
      </w:r>
      <w:r>
        <w:rPr>
          <w:rFonts w:hint="eastAsia" w:ascii="仿宋_GB2312" w:hAnsi="仿宋_GB2312" w:eastAsia="仿宋_GB2312" w:cs="仿宋_GB2312"/>
          <w:sz w:val="32"/>
          <w:szCs w:val="32"/>
          <w:lang w:eastAsia="zh-CN"/>
        </w:rPr>
        <w:t>石家庄市鹿泉区山尹村镇人民政府</w:t>
      </w:r>
      <w:r>
        <w:rPr>
          <w:rFonts w:hint="eastAsia" w:ascii="仿宋_GB2312" w:hAnsi="仿宋_GB2312" w:eastAsia="仿宋_GB2312" w:cs="仿宋_GB2312"/>
          <w:sz w:val="32"/>
          <w:szCs w:val="32"/>
        </w:rPr>
        <w:t>2019年部门预算公开如下：</w:t>
      </w:r>
    </w:p>
    <w:p>
      <w:pPr>
        <w:ind w:firstLine="640"/>
        <w:rPr>
          <w:rFonts w:ascii="黑体" w:hAnsi="黑体" w:eastAsia="黑体" w:cs="Times New Roman"/>
          <w:sz w:val="32"/>
          <w:szCs w:val="32"/>
        </w:rPr>
      </w:pPr>
      <w:r>
        <w:rPr>
          <w:rFonts w:hint="eastAsia" w:ascii="黑体" w:hAnsi="黑体" w:eastAsia="黑体" w:cs="Times New Roman"/>
          <w:sz w:val="32"/>
          <w:szCs w:val="32"/>
        </w:rPr>
        <w:t>一、部门职责及机构设置情况</w:t>
      </w:r>
    </w:p>
    <w:p>
      <w:pPr>
        <w:ind w:firstLine="643" w:firstLineChars="200"/>
        <w:rPr>
          <w:rFonts w:ascii="Times New Roman" w:hAnsi="Times New Roman" w:eastAsia="方正仿宋_GBK" w:cs="Times New Roman"/>
          <w:b/>
          <w:sz w:val="32"/>
          <w:szCs w:val="32"/>
        </w:rPr>
      </w:pPr>
      <w:r>
        <w:rPr>
          <w:rFonts w:hint="eastAsia" w:ascii="Times New Roman" w:hAnsi="Times New Roman" w:eastAsia="方正仿宋_GBK" w:cs="Times New Roman"/>
          <w:b/>
          <w:sz w:val="32"/>
          <w:szCs w:val="32"/>
        </w:rPr>
        <w:t>部门</w:t>
      </w:r>
      <w:r>
        <w:rPr>
          <w:rFonts w:ascii="Times New Roman" w:hAnsi="Times New Roman" w:eastAsia="方正仿宋_GBK" w:cs="Times New Roman"/>
          <w:b/>
          <w:sz w:val="32"/>
          <w:szCs w:val="32"/>
        </w:rPr>
        <w:t>职责：</w:t>
      </w:r>
    </w:p>
    <w:p>
      <w:pPr>
        <w:spacing w:line="500" w:lineRule="exact"/>
        <w:ind w:firstLine="56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机关事务管理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负责乡镇党委、政府各项工作的督导催办，处理机关日常事务，搞好文秘、档案管理、政务公开和机关后勤保障工作；负责相关党群单位的工作；抓好农村基层组织建设和民主政治建设。负责制定乡镇财政计划和经济发展规划；为招商引资、发展民营企业和第三产业提供服务；做好乡镇统计、财政、审计工作；　负责社会治安综合治理和司法工作；做好宗教工作，打击邪教；调处矛盾纠纷；做好群众来信来访、社会稳定等工作；负责精神文明和新农村建设，以及与武装部、国税、地税、市场监督管理局等各部门社会事务工作的指导服务和协调。</w:t>
      </w:r>
    </w:p>
    <w:p>
      <w:pPr>
        <w:spacing w:line="500" w:lineRule="exact"/>
        <w:ind w:firstLine="56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农业综合服务：负责配合农口部门（农、林、牧、水）做好农业技术服务和技术推广工作，动物防疫工作；加强农田水利基本建设，增强农业抗御自然灾害的能力。做好农村一事一议项目管理、监督项目的运行情况、督促项目的及时完成及确保完成质量。</w:t>
      </w:r>
    </w:p>
    <w:p>
      <w:pPr>
        <w:spacing w:line="500" w:lineRule="exact"/>
        <w:ind w:firstLine="56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卫生计生服务：配合食品药品监督管理的协调、督导，做好新型农村合作医疗等卫生方面工作，负责计划生育技术服务及人口生育管理，负责育龄妇女普查、妇女病防治、四术及协会等项工作。</w:t>
      </w:r>
    </w:p>
    <w:p>
      <w:pPr>
        <w:spacing w:line="500" w:lineRule="exact"/>
        <w:ind w:firstLine="56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文化综合服务：负责群众文化娱乐、体育活动、广播电视村村通等工作，负责文化站、邮政所等工作；</w:t>
      </w:r>
    </w:p>
    <w:p>
      <w:pPr>
        <w:spacing w:line="500" w:lineRule="exact"/>
        <w:ind w:firstLine="56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社会保障服务：配合劳动保障部门做好劳动法的宣传贯彻、劳动就业、社会保障等工作。配合安全生产监督管理部门做好安全生产监督管理等工作。配合城管部门做好村容村貌、环境卫生整治工作、交通运输管理工作等。</w:t>
      </w:r>
    </w:p>
    <w:p>
      <w:pPr>
        <w:spacing w:line="500" w:lineRule="exact"/>
        <w:ind w:firstLine="56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城乡社区事务管理：负责城乡公用基础设施建设，安全和应急管理；拟定乡村发展规划、政策并指导实施；拟定村庄和小城镇建设政策并指导实施，改善人居环境；负责交通道路建设、修整工作；负责大气治污，企业转型升级改造工作;负责境域内环境卫生清理整治工作；负责配合区卫生城创建工作，我区旅发大会召开工作。</w:t>
      </w:r>
    </w:p>
    <w:p>
      <w:pPr>
        <w:spacing w:line="500" w:lineRule="exact"/>
        <w:ind w:firstLine="56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基层政权和社区建设：组织指导农村集体自治组织民主选举、民主决策、民主管理和民主监督，村务政务公开工作，基层干部培训工作，指导城乡社区建设及服务管理工作。</w:t>
      </w:r>
    </w:p>
    <w:p>
      <w:pPr>
        <w:spacing w:line="500" w:lineRule="exact"/>
        <w:ind w:firstLine="56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（八）</w:t>
      </w:r>
      <w:r>
        <w:rPr>
          <w:rFonts w:hint="eastAsia" w:ascii="仿宋_GB2312" w:hAnsi="仿宋_GB2312" w:eastAsia="仿宋_GB2312" w:cs="仿宋_GB2312"/>
          <w:sz w:val="32"/>
          <w:szCs w:val="32"/>
        </w:rPr>
        <w:t>政法综治稳定和公共安全：</w:t>
      </w:r>
    </w:p>
    <w:p>
      <w:pPr>
        <w:spacing w:line="500" w:lineRule="exact"/>
        <w:ind w:firstLine="56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1、贯彻实施国家安全战略，推进国家安全法制建设，贯彻落实国家安全工作方针，研究解决涉及国家安全工作的重大问题；</w:t>
      </w:r>
    </w:p>
    <w:p>
      <w:pPr>
        <w:spacing w:line="500" w:lineRule="exact"/>
        <w:ind w:firstLine="56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2、推进社会治安综合治理，维护社会稳定，有效地维护本乡镇的可持续稳定，同时抓好全民普法工作，推进依法治理；</w:t>
      </w:r>
    </w:p>
    <w:p>
      <w:pPr>
        <w:spacing w:line="500" w:lineRule="exact"/>
        <w:ind w:firstLine="56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3、加强政法队伍建设和领导班子建设；</w:t>
      </w:r>
    </w:p>
    <w:p>
      <w:pPr>
        <w:spacing w:line="500" w:lineRule="exact"/>
        <w:ind w:firstLine="56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4、受理并查处涉法涉诉信访案件工作，促进司法公正；</w:t>
      </w:r>
    </w:p>
    <w:p>
      <w:pPr>
        <w:spacing w:line="500" w:lineRule="exact"/>
        <w:ind w:firstLine="56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5、坚持社会治安综合治理属地管理原则，抓好目标管理责任制、领导责任制、责任追究和一票否决权等制度的落实，抓好中小学校的社会治安综合治理和所辖乡镇铁路治安联防护路工作；</w:t>
      </w:r>
    </w:p>
    <w:p>
      <w:pPr>
        <w:spacing w:line="500" w:lineRule="exact"/>
        <w:ind w:firstLine="56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6、依法打击并取缔各种非法宗教活动。</w:t>
      </w:r>
    </w:p>
    <w:p>
      <w:pPr>
        <w:spacing w:line="500" w:lineRule="exact"/>
        <w:ind w:firstLine="56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（九）</w:t>
      </w:r>
      <w:r>
        <w:rPr>
          <w:rFonts w:hint="eastAsia" w:ascii="仿宋_GB2312" w:hAnsi="仿宋_GB2312" w:eastAsia="仿宋_GB2312" w:cs="仿宋_GB2312"/>
          <w:sz w:val="32"/>
          <w:szCs w:val="32"/>
        </w:rPr>
        <w:t>安全生产综合监管：负责辖区企业安全生产综合监管，开展安全事故宣传教育活动，对企业安全隐患进行排查，遏制重特大事故发生。</w:t>
      </w:r>
    </w:p>
    <w:p>
      <w:pPr>
        <w:spacing w:line="500" w:lineRule="exact"/>
        <w:ind w:firstLine="56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（十）</w:t>
      </w:r>
      <w:r>
        <w:rPr>
          <w:rFonts w:hint="eastAsia" w:ascii="仿宋_GB2312" w:hAnsi="仿宋_GB2312" w:eastAsia="仿宋_GB2312" w:cs="仿宋_GB2312"/>
          <w:sz w:val="32"/>
          <w:szCs w:val="32"/>
        </w:rPr>
        <w:t>义务教育：以农村教育为重点，推进义务教育均衡发展，建立中小学校舍安全保障机制，改善薄弱学校办学条件，促进公共教育资源向农村和经济欠发达地区倾斜。</w:t>
      </w:r>
    </w:p>
    <w:p>
      <w:pPr>
        <w:spacing w:line="500" w:lineRule="exact"/>
        <w:ind w:firstLine="56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（十一）</w:t>
      </w:r>
      <w:r>
        <w:rPr>
          <w:rFonts w:hint="eastAsia" w:ascii="仿宋_GB2312" w:hAnsi="仿宋_GB2312" w:eastAsia="仿宋_GB2312" w:cs="仿宋_GB2312"/>
          <w:sz w:val="32"/>
          <w:szCs w:val="32"/>
        </w:rPr>
        <w:t>节能环保：通过淘汰落后产能、提高企业清洁生产和污染物排放标准等措施，推进主要污染物减排，促进结构调整和加快转变经济发展方式。</w:t>
      </w:r>
    </w:p>
    <w:p>
      <w:pPr>
        <w:autoSpaceDE w:val="0"/>
        <w:autoSpaceDN w:val="0"/>
        <w:adjustRightInd w:val="0"/>
        <w:ind w:left="198" w:firstLine="643" w:firstLineChars="200"/>
        <w:jc w:val="left"/>
        <w:rPr>
          <w:rFonts w:hint="eastAsia" w:ascii="仿宋_GB2312" w:hAnsi="仿宋_GB2312" w:eastAsia="仿宋_GB2312" w:cs="仿宋_GB2312"/>
          <w:b/>
          <w:sz w:val="32"/>
          <w:szCs w:val="32"/>
        </w:rPr>
      </w:pP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山尹村镇人民政府根据上述</w:t>
      </w:r>
      <w:r>
        <w:rPr>
          <w:rFonts w:hint="eastAsia" w:ascii="仿宋_GB2312" w:hAnsi="仿宋_GB2312" w:eastAsia="仿宋_GB2312" w:cs="仿宋_GB2312"/>
          <w:sz w:val="32"/>
          <w:szCs w:val="32"/>
        </w:rPr>
        <w:t>工作</w:t>
      </w:r>
      <w:r>
        <w:rPr>
          <w:rFonts w:hint="eastAsia" w:ascii="仿宋_GB2312" w:hAnsi="仿宋_GB2312" w:eastAsia="仿宋_GB2312" w:cs="仿宋_GB2312"/>
          <w:sz w:val="32"/>
          <w:szCs w:val="32"/>
          <w:lang w:eastAsia="zh-CN"/>
        </w:rPr>
        <w:t>职责</w:t>
      </w:r>
      <w:r>
        <w:rPr>
          <w:rFonts w:hint="eastAsia" w:ascii="仿宋_GB2312" w:hAnsi="仿宋_GB2312" w:eastAsia="仿宋_GB2312" w:cs="仿宋_GB2312"/>
          <w:sz w:val="32"/>
          <w:szCs w:val="32"/>
        </w:rPr>
        <w:t>需要，设有</w:t>
      </w:r>
      <w:r>
        <w:rPr>
          <w:rFonts w:hint="eastAsia" w:ascii="仿宋_GB2312" w:hAnsi="仿宋_GB2312" w:eastAsia="仿宋_GB2312" w:cs="仿宋_GB2312"/>
          <w:sz w:val="32"/>
          <w:szCs w:val="32"/>
          <w:lang w:eastAsia="zh-CN"/>
        </w:rPr>
        <w:t>党政办公室</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农业办、计生办、宣传办、</w:t>
      </w:r>
      <w:r>
        <w:rPr>
          <w:rFonts w:hint="eastAsia" w:ascii="仿宋_GB2312" w:hAnsi="仿宋_GB2312" w:eastAsia="仿宋_GB2312" w:cs="仿宋_GB2312"/>
          <w:sz w:val="32"/>
          <w:szCs w:val="32"/>
        </w:rPr>
        <w:t>劳动和社会保障服务站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城镇建设办公室</w:t>
      </w:r>
      <w:r>
        <w:rPr>
          <w:rFonts w:hint="eastAsia" w:ascii="仿宋_GB2312" w:hAnsi="仿宋_GB2312" w:eastAsia="仿宋_GB2312" w:cs="仿宋_GB2312"/>
          <w:sz w:val="32"/>
          <w:szCs w:val="32"/>
          <w:lang w:eastAsia="zh-CN"/>
        </w:rPr>
        <w:t>、社会事务办公室、</w:t>
      </w:r>
      <w:r>
        <w:rPr>
          <w:rFonts w:hint="eastAsia" w:ascii="仿宋_GB2312" w:hAnsi="仿宋_GB2312" w:eastAsia="仿宋_GB2312" w:cs="仿宋_GB2312"/>
          <w:sz w:val="32"/>
          <w:szCs w:val="32"/>
        </w:rPr>
        <w:t>综合治理办公室</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经济发展办公室</w:t>
      </w:r>
      <w:r>
        <w:rPr>
          <w:rFonts w:hint="eastAsia" w:ascii="仿宋_GB2312" w:hAnsi="仿宋_GB2312" w:eastAsia="仿宋_GB2312" w:cs="仿宋_GB2312"/>
          <w:sz w:val="32"/>
          <w:szCs w:val="32"/>
          <w:lang w:eastAsia="zh-CN"/>
        </w:rPr>
        <w:t>、财政所。</w:t>
      </w:r>
    </w:p>
    <w:p>
      <w:pPr>
        <w:autoSpaceDE w:val="0"/>
        <w:autoSpaceDN w:val="0"/>
        <w:adjustRightInd w:val="0"/>
        <w:ind w:left="198" w:firstLine="643" w:firstLineChars="200"/>
        <w:jc w:val="left"/>
        <w:rPr>
          <w:rFonts w:ascii="方正仿宋_GBK" w:hAnsi="Times New Roman" w:eastAsia="方正仿宋_GBK" w:cs="Times New Roman"/>
          <w:b/>
          <w:sz w:val="32"/>
          <w:szCs w:val="32"/>
        </w:rPr>
      </w:pPr>
    </w:p>
    <w:p>
      <w:pPr>
        <w:autoSpaceDE w:val="0"/>
        <w:autoSpaceDN w:val="0"/>
        <w:adjustRightInd w:val="0"/>
        <w:ind w:left="198" w:firstLine="643" w:firstLineChars="200"/>
        <w:jc w:val="left"/>
        <w:rPr>
          <w:rFonts w:hint="eastAsia" w:ascii="方正仿宋_GBK" w:hAnsi="Times New Roman" w:eastAsia="方正仿宋_GBK" w:cs="Times New Roman"/>
          <w:b/>
          <w:sz w:val="32"/>
          <w:szCs w:val="32"/>
        </w:rPr>
      </w:pPr>
    </w:p>
    <w:p>
      <w:pPr>
        <w:autoSpaceDE w:val="0"/>
        <w:autoSpaceDN w:val="0"/>
        <w:adjustRightInd w:val="0"/>
        <w:ind w:left="198" w:firstLine="643" w:firstLineChars="200"/>
        <w:jc w:val="left"/>
        <w:rPr>
          <w:rFonts w:hint="eastAsia" w:ascii="方正仿宋_GBK" w:hAnsi="Times New Roman" w:eastAsia="方正仿宋_GBK" w:cs="Times New Roman"/>
          <w:b/>
          <w:sz w:val="32"/>
          <w:szCs w:val="32"/>
        </w:rPr>
      </w:pPr>
      <w:r>
        <w:rPr>
          <w:rFonts w:hint="eastAsia" w:ascii="方正仿宋_GBK" w:hAnsi="Times New Roman" w:eastAsia="方正仿宋_GBK" w:cs="Times New Roman"/>
          <w:b/>
          <w:sz w:val="32"/>
          <w:szCs w:val="32"/>
        </w:rPr>
        <w:t>机构设置：</w:t>
      </w:r>
    </w:p>
    <w:tbl>
      <w:tblPr>
        <w:tblStyle w:val="8"/>
        <w:tblW w:w="14262"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827"/>
        <w:gridCol w:w="1134"/>
        <w:gridCol w:w="1276"/>
        <w:gridCol w:w="2353"/>
        <w:gridCol w:w="709"/>
        <w:gridCol w:w="709"/>
        <w:gridCol w:w="709"/>
        <w:gridCol w:w="709"/>
        <w:gridCol w:w="709"/>
        <w:gridCol w:w="709"/>
        <w:gridCol w:w="709"/>
        <w:gridCol w:w="70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10008" w:type="dxa"/>
            <w:gridSpan w:val="6"/>
            <w:tcBorders>
              <w:top w:val="single" w:color="FFFFFF" w:sz="6" w:space="0"/>
              <w:left w:val="single" w:color="FFFFFF" w:sz="6" w:space="0"/>
              <w:right w:val="single" w:color="FFFFFF" w:sz="6" w:space="0"/>
            </w:tcBorders>
            <w:shd w:val="clear" w:color="auto" w:fill="auto"/>
            <w:noWrap w:val="0"/>
            <w:vAlign w:val="center"/>
          </w:tcPr>
          <w:p>
            <w:pPr>
              <w:spacing w:line="300" w:lineRule="exact"/>
              <w:jc w:val="left"/>
              <w:rPr>
                <w:rFonts w:ascii="方正小标宋_GBK" w:eastAsia="方正小标宋_GBK"/>
                <w:sz w:val="24"/>
              </w:rPr>
            </w:pPr>
            <w:r>
              <w:rPr>
                <w:rFonts w:ascii="方正小标宋_GBK" w:eastAsia="方正小标宋_GBK"/>
                <w:sz w:val="24"/>
              </w:rPr>
              <w:t>816</w:t>
            </w:r>
            <w:r>
              <w:rPr>
                <w:rFonts w:hint="eastAsia" w:ascii="方正小标宋_GBK" w:eastAsia="方正小标宋_GBK"/>
                <w:sz w:val="24"/>
              </w:rPr>
              <w:t>石家庄市鹿泉区山尹村镇人民政府</w:t>
            </w:r>
          </w:p>
        </w:tc>
        <w:tc>
          <w:tcPr>
            <w:tcW w:w="4254" w:type="dxa"/>
            <w:gridSpan w:val="6"/>
            <w:tcBorders>
              <w:top w:val="single" w:color="FFFFFF" w:sz="6" w:space="0"/>
              <w:left w:val="single" w:color="FFFFFF" w:sz="6" w:space="0"/>
              <w:right w:val="single" w:color="FFFFFF" w:sz="6" w:space="0"/>
            </w:tcBorders>
            <w:shd w:val="clear" w:color="auto" w:fill="auto"/>
            <w:noWrap w:val="0"/>
            <w:vAlign w:val="center"/>
          </w:tcPr>
          <w:p>
            <w:pPr>
              <w:spacing w:line="300" w:lineRule="exact"/>
              <w:jc w:val="right"/>
              <w:rPr>
                <w:rFonts w:ascii="方正小标宋_GBK" w:eastAsia="方正小标宋_GBK"/>
                <w:sz w:val="24"/>
              </w:rPr>
            </w:pPr>
            <w:r>
              <w:rPr>
                <w:rFonts w:hint="eastAsia" w:ascii="方正小标宋_GBK" w:eastAsia="方正小标宋_GBK"/>
                <w:sz w:val="24"/>
              </w:rPr>
              <w:t>单位：人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3827"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单位名称</w:t>
            </w:r>
          </w:p>
        </w:tc>
        <w:tc>
          <w:tcPr>
            <w:tcW w:w="1134"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单位性质</w:t>
            </w:r>
          </w:p>
        </w:tc>
        <w:tc>
          <w:tcPr>
            <w:tcW w:w="1276"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单位规格</w:t>
            </w:r>
          </w:p>
        </w:tc>
        <w:tc>
          <w:tcPr>
            <w:tcW w:w="2353"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经费保障形式</w:t>
            </w:r>
          </w:p>
        </w:tc>
        <w:tc>
          <w:tcPr>
            <w:tcW w:w="709"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车辆实有数</w:t>
            </w:r>
          </w:p>
        </w:tc>
        <w:tc>
          <w:tcPr>
            <w:tcW w:w="1418" w:type="dxa"/>
            <w:gridSpan w:val="2"/>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编制人数</w:t>
            </w:r>
          </w:p>
        </w:tc>
        <w:tc>
          <w:tcPr>
            <w:tcW w:w="1418" w:type="dxa"/>
            <w:gridSpan w:val="2"/>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在职人数</w:t>
            </w:r>
          </w:p>
        </w:tc>
        <w:tc>
          <w:tcPr>
            <w:tcW w:w="2127" w:type="dxa"/>
            <w:gridSpan w:val="3"/>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离退人数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3827" w:type="dxa"/>
            <w:vMerge w:val="continue"/>
            <w:shd w:val="clear" w:color="auto" w:fill="auto"/>
            <w:noWrap w:val="0"/>
            <w:vAlign w:val="center"/>
          </w:tcPr>
          <w:p>
            <w:pPr>
              <w:spacing w:line="300" w:lineRule="exact"/>
              <w:jc w:val="left"/>
              <w:outlineLvl w:val="0"/>
            </w:pPr>
          </w:p>
        </w:tc>
        <w:tc>
          <w:tcPr>
            <w:tcW w:w="1134" w:type="dxa"/>
            <w:vMerge w:val="continue"/>
            <w:shd w:val="clear" w:color="auto" w:fill="auto"/>
            <w:noWrap w:val="0"/>
            <w:vAlign w:val="center"/>
          </w:tcPr>
          <w:p>
            <w:pPr>
              <w:spacing w:line="300" w:lineRule="exact"/>
              <w:jc w:val="left"/>
              <w:outlineLvl w:val="0"/>
            </w:pPr>
          </w:p>
        </w:tc>
        <w:tc>
          <w:tcPr>
            <w:tcW w:w="1276" w:type="dxa"/>
            <w:vMerge w:val="continue"/>
            <w:shd w:val="clear" w:color="auto" w:fill="auto"/>
            <w:noWrap w:val="0"/>
            <w:vAlign w:val="center"/>
          </w:tcPr>
          <w:p>
            <w:pPr>
              <w:spacing w:line="300" w:lineRule="exact"/>
              <w:jc w:val="left"/>
              <w:outlineLvl w:val="0"/>
            </w:pPr>
          </w:p>
        </w:tc>
        <w:tc>
          <w:tcPr>
            <w:tcW w:w="2353" w:type="dxa"/>
            <w:vMerge w:val="continue"/>
            <w:shd w:val="clear" w:color="auto" w:fill="auto"/>
            <w:noWrap w:val="0"/>
            <w:vAlign w:val="center"/>
          </w:tcPr>
          <w:p>
            <w:pPr>
              <w:spacing w:line="300" w:lineRule="exact"/>
              <w:jc w:val="left"/>
              <w:outlineLvl w:val="0"/>
            </w:pPr>
          </w:p>
        </w:tc>
        <w:tc>
          <w:tcPr>
            <w:tcW w:w="709" w:type="dxa"/>
            <w:vMerge w:val="continue"/>
            <w:shd w:val="clear" w:color="auto" w:fill="auto"/>
            <w:noWrap w:val="0"/>
            <w:vAlign w:val="center"/>
          </w:tcPr>
          <w:p>
            <w:pPr>
              <w:spacing w:line="300" w:lineRule="exact"/>
              <w:jc w:val="left"/>
              <w:outlineLvl w:val="0"/>
            </w:pPr>
          </w:p>
        </w:tc>
        <w:tc>
          <w:tcPr>
            <w:tcW w:w="709"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行政</w:t>
            </w:r>
          </w:p>
        </w:tc>
        <w:tc>
          <w:tcPr>
            <w:tcW w:w="709"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事业</w:t>
            </w:r>
          </w:p>
        </w:tc>
        <w:tc>
          <w:tcPr>
            <w:tcW w:w="709"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行政</w:t>
            </w:r>
          </w:p>
        </w:tc>
        <w:tc>
          <w:tcPr>
            <w:tcW w:w="709"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事业</w:t>
            </w:r>
          </w:p>
        </w:tc>
        <w:tc>
          <w:tcPr>
            <w:tcW w:w="709"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离休</w:t>
            </w:r>
          </w:p>
        </w:tc>
        <w:tc>
          <w:tcPr>
            <w:tcW w:w="709"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退休</w:t>
            </w:r>
          </w:p>
        </w:tc>
        <w:tc>
          <w:tcPr>
            <w:tcW w:w="709"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退职</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3827"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合</w:t>
            </w:r>
            <w:r>
              <w:rPr>
                <w:rFonts w:ascii="方正书宋_GBK" w:eastAsia="方正书宋_GBK"/>
                <w:b/>
              </w:rPr>
              <w:t xml:space="preserve">    </w:t>
            </w:r>
            <w:r>
              <w:rPr>
                <w:rFonts w:hint="eastAsia" w:ascii="方正书宋_GBK" w:eastAsia="方正书宋_GBK"/>
                <w:b/>
              </w:rPr>
              <w:t>计</w:t>
            </w:r>
          </w:p>
        </w:tc>
        <w:tc>
          <w:tcPr>
            <w:tcW w:w="1134" w:type="dxa"/>
            <w:shd w:val="clear" w:color="auto" w:fill="auto"/>
            <w:noWrap w:val="0"/>
            <w:vAlign w:val="center"/>
          </w:tcPr>
          <w:p>
            <w:pPr>
              <w:spacing w:line="300" w:lineRule="exact"/>
              <w:jc w:val="center"/>
              <w:rPr>
                <w:rFonts w:ascii="方正书宋_GBK" w:eastAsia="方正书宋_GBK"/>
                <w:b/>
              </w:rPr>
            </w:pPr>
          </w:p>
        </w:tc>
        <w:tc>
          <w:tcPr>
            <w:tcW w:w="1276" w:type="dxa"/>
            <w:shd w:val="clear" w:color="auto" w:fill="auto"/>
            <w:noWrap w:val="0"/>
            <w:vAlign w:val="center"/>
          </w:tcPr>
          <w:p>
            <w:pPr>
              <w:spacing w:line="300" w:lineRule="exact"/>
              <w:jc w:val="center"/>
              <w:rPr>
                <w:rFonts w:ascii="方正书宋_GBK" w:eastAsia="方正书宋_GBK"/>
                <w:b/>
              </w:rPr>
            </w:pPr>
          </w:p>
        </w:tc>
        <w:tc>
          <w:tcPr>
            <w:tcW w:w="2353" w:type="dxa"/>
            <w:shd w:val="clear" w:color="auto" w:fill="auto"/>
            <w:noWrap w:val="0"/>
            <w:vAlign w:val="center"/>
          </w:tcPr>
          <w:p>
            <w:pPr>
              <w:spacing w:line="300" w:lineRule="exact"/>
              <w:jc w:val="center"/>
              <w:rPr>
                <w:rFonts w:ascii="方正书宋_GBK" w:eastAsia="方正书宋_GBK"/>
                <w:b/>
              </w:rPr>
            </w:pPr>
          </w:p>
        </w:tc>
        <w:tc>
          <w:tcPr>
            <w:tcW w:w="709" w:type="dxa"/>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2</w:t>
            </w:r>
          </w:p>
        </w:tc>
        <w:tc>
          <w:tcPr>
            <w:tcW w:w="709" w:type="dxa"/>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27</w:t>
            </w:r>
          </w:p>
        </w:tc>
        <w:tc>
          <w:tcPr>
            <w:tcW w:w="709" w:type="dxa"/>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26</w:t>
            </w:r>
          </w:p>
        </w:tc>
        <w:tc>
          <w:tcPr>
            <w:tcW w:w="709" w:type="dxa"/>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46</w:t>
            </w:r>
          </w:p>
        </w:tc>
        <w:tc>
          <w:tcPr>
            <w:tcW w:w="709" w:type="dxa"/>
            <w:shd w:val="clear" w:color="auto" w:fill="auto"/>
            <w:noWrap w:val="0"/>
            <w:vAlign w:val="center"/>
          </w:tcPr>
          <w:p>
            <w:pPr>
              <w:spacing w:line="300" w:lineRule="exact"/>
              <w:jc w:val="center"/>
              <w:rPr>
                <w:rFonts w:ascii="方正书宋_GBK" w:eastAsia="方正书宋_GBK"/>
                <w:b/>
              </w:rPr>
            </w:pPr>
          </w:p>
        </w:tc>
        <w:tc>
          <w:tcPr>
            <w:tcW w:w="709" w:type="dxa"/>
            <w:shd w:val="clear" w:color="auto" w:fill="auto"/>
            <w:noWrap w:val="0"/>
            <w:vAlign w:val="center"/>
          </w:tcPr>
          <w:p>
            <w:pPr>
              <w:spacing w:line="300" w:lineRule="exact"/>
              <w:jc w:val="center"/>
              <w:rPr>
                <w:rFonts w:ascii="方正书宋_GBK" w:eastAsia="方正书宋_GBK"/>
                <w:b/>
              </w:rPr>
            </w:pPr>
          </w:p>
        </w:tc>
        <w:tc>
          <w:tcPr>
            <w:tcW w:w="709" w:type="dxa"/>
            <w:shd w:val="clear" w:color="auto" w:fill="auto"/>
            <w:noWrap w:val="0"/>
            <w:vAlign w:val="center"/>
          </w:tcPr>
          <w:p>
            <w:pPr>
              <w:spacing w:line="300" w:lineRule="exact"/>
              <w:jc w:val="center"/>
              <w:rPr>
                <w:rFonts w:ascii="方正书宋_GBK" w:eastAsia="方正书宋_GBK"/>
                <w:b/>
              </w:rPr>
            </w:pPr>
            <w:r>
              <w:rPr>
                <w:rFonts w:ascii="方正书宋_GBK" w:eastAsia="方正书宋_GBK"/>
                <w:b/>
              </w:rPr>
              <w:t>7</w:t>
            </w:r>
          </w:p>
        </w:tc>
        <w:tc>
          <w:tcPr>
            <w:tcW w:w="709" w:type="dxa"/>
            <w:shd w:val="clear" w:color="auto" w:fill="auto"/>
            <w:noWrap w:val="0"/>
            <w:vAlign w:val="center"/>
          </w:tcPr>
          <w:p>
            <w:pPr>
              <w:spacing w:line="300" w:lineRule="exact"/>
              <w:jc w:val="center"/>
              <w:rPr>
                <w:rFonts w:ascii="方正书宋_GBK" w:eastAsia="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382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石家庄市鹿泉区山尹村镇人民政府</w:t>
            </w:r>
          </w:p>
        </w:tc>
        <w:tc>
          <w:tcPr>
            <w:tcW w:w="1134"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行政</w:t>
            </w:r>
          </w:p>
        </w:tc>
        <w:tc>
          <w:tcPr>
            <w:tcW w:w="1276"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正科级</w:t>
            </w:r>
          </w:p>
        </w:tc>
        <w:tc>
          <w:tcPr>
            <w:tcW w:w="2353"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财政拨款</w:t>
            </w:r>
          </w:p>
        </w:tc>
        <w:tc>
          <w:tcPr>
            <w:tcW w:w="709"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2</w:t>
            </w:r>
          </w:p>
        </w:tc>
        <w:tc>
          <w:tcPr>
            <w:tcW w:w="709"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27</w:t>
            </w:r>
          </w:p>
        </w:tc>
        <w:tc>
          <w:tcPr>
            <w:tcW w:w="709"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26</w:t>
            </w:r>
          </w:p>
        </w:tc>
        <w:tc>
          <w:tcPr>
            <w:tcW w:w="709"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46</w:t>
            </w:r>
          </w:p>
        </w:tc>
        <w:tc>
          <w:tcPr>
            <w:tcW w:w="709" w:type="dxa"/>
            <w:shd w:val="clear" w:color="auto" w:fill="auto"/>
            <w:noWrap w:val="0"/>
            <w:vAlign w:val="center"/>
          </w:tcPr>
          <w:p>
            <w:pPr>
              <w:spacing w:line="300" w:lineRule="exact"/>
              <w:jc w:val="center"/>
              <w:rPr>
                <w:rFonts w:ascii="方正书宋_GBK" w:eastAsia="方正书宋_GBK"/>
              </w:rPr>
            </w:pPr>
          </w:p>
        </w:tc>
        <w:tc>
          <w:tcPr>
            <w:tcW w:w="709" w:type="dxa"/>
            <w:shd w:val="clear" w:color="auto" w:fill="auto"/>
            <w:noWrap w:val="0"/>
            <w:vAlign w:val="center"/>
          </w:tcPr>
          <w:p>
            <w:pPr>
              <w:spacing w:line="300" w:lineRule="exact"/>
              <w:jc w:val="center"/>
              <w:rPr>
                <w:rFonts w:ascii="方正书宋_GBK" w:eastAsia="方正书宋_GBK"/>
              </w:rPr>
            </w:pPr>
          </w:p>
        </w:tc>
        <w:tc>
          <w:tcPr>
            <w:tcW w:w="709"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7</w:t>
            </w:r>
          </w:p>
        </w:tc>
        <w:tc>
          <w:tcPr>
            <w:tcW w:w="709" w:type="dxa"/>
            <w:shd w:val="clear" w:color="auto" w:fill="auto"/>
            <w:noWrap w:val="0"/>
            <w:vAlign w:val="center"/>
          </w:tcPr>
          <w:p>
            <w:pPr>
              <w:spacing w:line="300" w:lineRule="exact"/>
              <w:jc w:val="center"/>
              <w:rPr>
                <w:rFonts w:ascii="方正书宋_GBK" w:eastAsia="方正书宋_GBK"/>
              </w:rPr>
            </w:pPr>
          </w:p>
        </w:tc>
      </w:tr>
    </w:tbl>
    <w:p>
      <w:pPr>
        <w:autoSpaceDE w:val="0"/>
        <w:autoSpaceDN w:val="0"/>
        <w:adjustRightInd w:val="0"/>
        <w:ind w:left="198" w:firstLine="643" w:firstLineChars="200"/>
        <w:jc w:val="left"/>
        <w:rPr>
          <w:rFonts w:hint="eastAsia" w:ascii="方正仿宋_GBK" w:hAnsi="Times New Roman" w:eastAsia="方正仿宋_GBK" w:cs="Times New Roman"/>
          <w:b/>
          <w:sz w:val="32"/>
          <w:szCs w:val="32"/>
        </w:rPr>
      </w:pPr>
    </w:p>
    <w:p>
      <w:pPr>
        <w:ind w:firstLine="640"/>
        <w:rPr>
          <w:rFonts w:ascii="黑体" w:hAnsi="黑体" w:eastAsia="黑体" w:cs="Times New Roman"/>
          <w:sz w:val="32"/>
          <w:szCs w:val="32"/>
        </w:rPr>
      </w:pPr>
      <w:r>
        <w:rPr>
          <w:rFonts w:hint="eastAsia" w:ascii="黑体" w:hAnsi="黑体" w:eastAsia="黑体" w:cs="Times New Roman"/>
          <w:sz w:val="32"/>
          <w:szCs w:val="32"/>
        </w:rPr>
        <w:t>二、部门预算安排的总体情况</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按照预算管理有关规定，目前我省部门预算的编制实行综合预算管理，即全部收入和支出都反映在预算中。</w:t>
      </w:r>
      <w:r>
        <w:rPr>
          <w:rFonts w:hint="eastAsia" w:ascii="仿宋_GB2312" w:hAnsi="仿宋_GB2312" w:eastAsia="仿宋_GB2312" w:cs="仿宋_GB2312"/>
          <w:sz w:val="32"/>
          <w:szCs w:val="32"/>
          <w:lang w:eastAsia="zh-CN"/>
        </w:rPr>
        <w:t>山尹村镇人民政府</w:t>
      </w:r>
      <w:r>
        <w:rPr>
          <w:rFonts w:hint="eastAsia" w:ascii="仿宋_GB2312" w:hAnsi="仿宋_GB2312" w:eastAsia="仿宋_GB2312" w:cs="仿宋_GB2312"/>
          <w:sz w:val="32"/>
          <w:szCs w:val="32"/>
        </w:rPr>
        <w:t>的收支包含在部门预算中。</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1、收入说明</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反映本部门当年全部收入。2019年预算收入2086.14万元，其中：一般公共预算收入2086.14万元，基金预算收入0万元，财政专户核拨收入0万元，其他来源收入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2、支出说明</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收支预算总表支出栏、基本支出表、项目支出表按经济分类和支出功能分类科目编制，反映</w:t>
      </w:r>
      <w:r>
        <w:rPr>
          <w:rFonts w:hint="eastAsia" w:ascii="仿宋_GB2312" w:hAnsi="仿宋_GB2312" w:eastAsia="仿宋_GB2312" w:cs="仿宋_GB2312"/>
          <w:sz w:val="32"/>
          <w:szCs w:val="32"/>
          <w:lang w:eastAsia="zh-CN"/>
        </w:rPr>
        <w:t>山尹村镇人民政府</w:t>
      </w:r>
      <w:r>
        <w:rPr>
          <w:rFonts w:hint="eastAsia" w:ascii="仿宋_GB2312" w:hAnsi="仿宋_GB2312" w:eastAsia="仿宋_GB2312" w:cs="仿宋_GB2312"/>
          <w:sz w:val="32"/>
          <w:szCs w:val="32"/>
        </w:rPr>
        <w:t>年度部门预算中支出预算的总体情况。2019年支出预算2086.14万元，其中基本支出</w:t>
      </w:r>
      <w:r>
        <w:rPr>
          <w:rFonts w:hint="eastAsia" w:ascii="仿宋_GB2312" w:hAnsi="仿宋_GB2312" w:eastAsia="仿宋_GB2312" w:cs="仿宋_GB2312"/>
          <w:sz w:val="32"/>
          <w:szCs w:val="32"/>
          <w:lang w:val="en-US" w:eastAsia="zh-CN"/>
        </w:rPr>
        <w:t>983.09</w:t>
      </w:r>
      <w:r>
        <w:rPr>
          <w:rFonts w:hint="eastAsia" w:ascii="仿宋_GB2312" w:hAnsi="仿宋_GB2312" w:eastAsia="仿宋_GB2312" w:cs="仿宋_GB2312"/>
          <w:sz w:val="32"/>
          <w:szCs w:val="32"/>
        </w:rPr>
        <w:t>万元，包括人员经费</w:t>
      </w:r>
      <w:r>
        <w:rPr>
          <w:rFonts w:hint="eastAsia" w:ascii="仿宋_GB2312" w:hAnsi="仿宋_GB2312" w:eastAsia="仿宋_GB2312" w:cs="仿宋_GB2312"/>
          <w:sz w:val="32"/>
          <w:szCs w:val="32"/>
          <w:lang w:val="en-US" w:eastAsia="zh-CN"/>
        </w:rPr>
        <w:t>676.26</w:t>
      </w:r>
      <w:r>
        <w:rPr>
          <w:rFonts w:hint="eastAsia" w:ascii="仿宋_GB2312" w:hAnsi="仿宋_GB2312" w:eastAsia="仿宋_GB2312" w:cs="仿宋_GB2312"/>
          <w:sz w:val="32"/>
          <w:szCs w:val="32"/>
        </w:rPr>
        <w:t>万元和日常公用经费</w:t>
      </w:r>
      <w:r>
        <w:rPr>
          <w:rFonts w:hint="eastAsia" w:ascii="仿宋_GB2312" w:hAnsi="仿宋_GB2312" w:eastAsia="仿宋_GB2312" w:cs="仿宋_GB2312"/>
          <w:sz w:val="32"/>
          <w:szCs w:val="32"/>
          <w:lang w:val="en-US" w:eastAsia="zh-CN"/>
        </w:rPr>
        <w:t>306.83</w:t>
      </w:r>
      <w:r>
        <w:rPr>
          <w:rFonts w:hint="eastAsia" w:ascii="仿宋_GB2312" w:hAnsi="仿宋_GB2312" w:eastAsia="仿宋_GB2312" w:cs="仿宋_GB2312"/>
          <w:sz w:val="32"/>
          <w:szCs w:val="32"/>
        </w:rPr>
        <w:t>万元；项目支出</w:t>
      </w:r>
      <w:r>
        <w:rPr>
          <w:rFonts w:hint="eastAsia" w:ascii="仿宋_GB2312" w:hAnsi="仿宋_GB2312" w:eastAsia="仿宋_GB2312" w:cs="仿宋_GB2312"/>
          <w:sz w:val="32"/>
          <w:szCs w:val="32"/>
          <w:lang w:val="en-US" w:eastAsia="zh-CN"/>
        </w:rPr>
        <w:t>1103.05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为</w:t>
      </w:r>
      <w:r>
        <w:rPr>
          <w:rFonts w:hint="eastAsia" w:ascii="仿宋_GB2312" w:hAnsi="仿宋_GB2312" w:eastAsia="仿宋_GB2312" w:cs="仿宋_GB2312"/>
          <w:sz w:val="32"/>
          <w:szCs w:val="32"/>
        </w:rPr>
        <w:t>本级支出，主要为</w:t>
      </w:r>
      <w:r>
        <w:rPr>
          <w:rFonts w:hint="eastAsia" w:ascii="仿宋_GB2312" w:hAnsi="仿宋_GB2312" w:eastAsia="仿宋_GB2312" w:cs="仿宋_GB2312"/>
          <w:sz w:val="32"/>
          <w:szCs w:val="32"/>
          <w:lang w:eastAsia="zh-CN"/>
        </w:rPr>
        <w:t>退役士兵安置和对高校毕业生到基层任职补助及其他税收返还性支出</w:t>
      </w:r>
      <w:r>
        <w:rPr>
          <w:rFonts w:hint="eastAsia" w:ascii="仿宋_GB2312" w:hAnsi="仿宋_GB2312" w:eastAsia="仿宋_GB2312" w:cs="仿宋_GB2312"/>
          <w:sz w:val="32"/>
          <w:szCs w:val="32"/>
        </w:rPr>
        <w:t>。</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3、比上年增减情况</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2019年预算收支安排</w:t>
      </w:r>
      <w:r>
        <w:rPr>
          <w:rFonts w:hint="eastAsia" w:ascii="仿宋_GB2312" w:hAnsi="仿宋_GB2312" w:eastAsia="仿宋_GB2312" w:cs="仿宋_GB2312"/>
          <w:sz w:val="32"/>
          <w:szCs w:val="32"/>
          <w:lang w:val="en-US" w:eastAsia="zh-CN"/>
        </w:rPr>
        <w:t>2086.14</w:t>
      </w:r>
      <w:r>
        <w:rPr>
          <w:rFonts w:hint="eastAsia" w:ascii="仿宋_GB2312" w:hAnsi="仿宋_GB2312" w:eastAsia="仿宋_GB2312" w:cs="仿宋_GB2312"/>
          <w:sz w:val="32"/>
          <w:szCs w:val="32"/>
        </w:rPr>
        <w:t>万元，较2018年预算</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169.93</w:t>
      </w:r>
      <w:r>
        <w:rPr>
          <w:rFonts w:hint="eastAsia" w:ascii="仿宋_GB2312" w:hAnsi="仿宋_GB2312" w:eastAsia="仿宋_GB2312" w:cs="仿宋_GB2312"/>
          <w:sz w:val="32"/>
          <w:szCs w:val="32"/>
        </w:rPr>
        <w:t>万元，其中：基本支出</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63.35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主要是</w:t>
      </w:r>
      <w:r>
        <w:rPr>
          <w:rFonts w:hint="eastAsia" w:ascii="仿宋_GB2312" w:hAnsi="仿宋_GB2312" w:eastAsia="仿宋_GB2312" w:cs="仿宋_GB2312"/>
          <w:sz w:val="32"/>
          <w:szCs w:val="32"/>
        </w:rPr>
        <w:t>人员经费支出</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rPr>
        <w:t>；项目支出</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106.58</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主要为</w:t>
      </w:r>
      <w:r>
        <w:rPr>
          <w:rFonts w:hint="eastAsia" w:ascii="仿宋_GB2312" w:hAnsi="仿宋_GB2312" w:eastAsia="仿宋_GB2312" w:cs="仿宋_GB2312"/>
          <w:sz w:val="32"/>
          <w:szCs w:val="32"/>
          <w:lang w:eastAsia="zh-CN"/>
        </w:rPr>
        <w:t>增加其他税收返还支出</w:t>
      </w:r>
      <w:r>
        <w:rPr>
          <w:rFonts w:hint="eastAsia" w:ascii="仿宋_GB2312" w:hAnsi="仿宋_GB2312" w:eastAsia="仿宋_GB2312" w:cs="仿宋_GB2312"/>
          <w:sz w:val="32"/>
          <w:szCs w:val="32"/>
        </w:rPr>
        <w:t>。</w:t>
      </w:r>
    </w:p>
    <w:p>
      <w:pPr>
        <w:autoSpaceDE w:val="0"/>
        <w:autoSpaceDN w:val="0"/>
        <w:adjustRightInd w:val="0"/>
        <w:ind w:left="198" w:firstLine="640" w:firstLineChars="200"/>
        <w:jc w:val="left"/>
        <w:rPr>
          <w:rFonts w:ascii="黑体" w:hAnsi="黑体" w:eastAsia="黑体" w:cs="Times New Roman"/>
          <w:sz w:val="32"/>
          <w:szCs w:val="32"/>
        </w:rPr>
      </w:pPr>
      <w:r>
        <w:rPr>
          <w:rFonts w:hint="eastAsia" w:ascii="黑体" w:hAnsi="黑体" w:eastAsia="黑体" w:cs="Times New Roman"/>
          <w:sz w:val="32"/>
          <w:szCs w:val="32"/>
        </w:rPr>
        <w:t>三、机关运行经费安排情况</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2019年，我</w:t>
      </w:r>
      <w:r>
        <w:rPr>
          <w:rFonts w:hint="eastAsia" w:ascii="仿宋_GB2312" w:hAnsi="仿宋_GB2312" w:eastAsia="仿宋_GB2312" w:cs="仿宋_GB2312"/>
          <w:sz w:val="32"/>
          <w:szCs w:val="32"/>
          <w:lang w:eastAsia="zh-CN"/>
        </w:rPr>
        <w:t>镇</w:t>
      </w:r>
      <w:r>
        <w:rPr>
          <w:rFonts w:hint="eastAsia" w:ascii="仿宋_GB2312" w:hAnsi="仿宋_GB2312" w:eastAsia="仿宋_GB2312" w:cs="仿宋_GB2312"/>
          <w:sz w:val="32"/>
          <w:szCs w:val="32"/>
        </w:rPr>
        <w:t>机关运行经费共计安排</w:t>
      </w:r>
      <w:r>
        <w:rPr>
          <w:rFonts w:hint="eastAsia" w:ascii="仿宋_GB2312" w:hAnsi="仿宋_GB2312" w:eastAsia="仿宋_GB2312" w:cs="仿宋_GB2312"/>
          <w:sz w:val="32"/>
          <w:szCs w:val="32"/>
          <w:lang w:val="en-US" w:eastAsia="zh-CN"/>
        </w:rPr>
        <w:t>306.86</w:t>
      </w:r>
      <w:r>
        <w:rPr>
          <w:rFonts w:hint="eastAsia" w:ascii="仿宋_GB2312" w:hAnsi="仿宋_GB2312" w:eastAsia="仿宋_GB2312" w:cs="仿宋_GB2312"/>
          <w:sz w:val="32"/>
          <w:szCs w:val="32"/>
        </w:rPr>
        <w:t>万元，主要用于</w:t>
      </w:r>
      <w:r>
        <w:rPr>
          <w:rFonts w:hint="eastAsia" w:ascii="仿宋_GB2312" w:hAnsi="仿宋_GB2312" w:eastAsia="仿宋_GB2312" w:cs="仿宋_GB2312"/>
          <w:sz w:val="32"/>
          <w:szCs w:val="32"/>
          <w:lang w:eastAsia="zh-CN"/>
        </w:rPr>
        <w:t>机关办公耗材及</w:t>
      </w:r>
      <w:r>
        <w:rPr>
          <w:rFonts w:hint="eastAsia" w:ascii="仿宋_GB2312" w:hAnsi="仿宋_GB2312" w:eastAsia="仿宋_GB2312" w:cs="仿宋_GB2312"/>
          <w:sz w:val="32"/>
          <w:szCs w:val="32"/>
        </w:rPr>
        <w:t>日常维修、办公用房水电费、</w:t>
      </w:r>
      <w:r>
        <w:rPr>
          <w:rFonts w:hint="eastAsia" w:ascii="仿宋_GB2312" w:hAnsi="仿宋_GB2312" w:eastAsia="仿宋_GB2312" w:cs="仿宋_GB2312"/>
          <w:sz w:val="32"/>
          <w:szCs w:val="32"/>
          <w:lang w:eastAsia="zh-CN"/>
        </w:rPr>
        <w:t>邮电费、</w:t>
      </w:r>
      <w:r>
        <w:rPr>
          <w:rFonts w:hint="eastAsia" w:ascii="仿宋_GB2312" w:hAnsi="仿宋_GB2312" w:eastAsia="仿宋_GB2312" w:cs="仿宋_GB2312"/>
          <w:sz w:val="32"/>
          <w:szCs w:val="32"/>
        </w:rPr>
        <w:t>办公用房取暖费</w:t>
      </w:r>
      <w:r>
        <w:rPr>
          <w:rFonts w:hint="eastAsia" w:ascii="仿宋_GB2312" w:hAnsi="仿宋_GB2312" w:eastAsia="仿宋_GB2312" w:cs="仿宋_GB2312"/>
          <w:sz w:val="32"/>
          <w:szCs w:val="32"/>
          <w:lang w:eastAsia="zh-CN"/>
        </w:rPr>
        <w:t>、劳务费</w:t>
      </w:r>
      <w:r>
        <w:rPr>
          <w:rFonts w:hint="eastAsia" w:ascii="仿宋_GB2312" w:hAnsi="仿宋_GB2312" w:eastAsia="仿宋_GB2312" w:cs="仿宋_GB2312"/>
          <w:sz w:val="32"/>
          <w:szCs w:val="32"/>
        </w:rPr>
        <w:t>等日常运行支出。</w:t>
      </w:r>
    </w:p>
    <w:p>
      <w:pPr>
        <w:autoSpaceDE w:val="0"/>
        <w:autoSpaceDN w:val="0"/>
        <w:adjustRightInd w:val="0"/>
        <w:ind w:left="198" w:firstLine="640" w:firstLineChars="200"/>
        <w:jc w:val="left"/>
        <w:rPr>
          <w:rFonts w:ascii="黑体" w:hAnsi="黑体" w:eastAsia="黑体" w:cs="Times New Roman"/>
          <w:sz w:val="32"/>
          <w:szCs w:val="32"/>
        </w:rPr>
      </w:pPr>
      <w:r>
        <w:rPr>
          <w:rFonts w:hint="eastAsia" w:ascii="黑体" w:hAnsi="黑体" w:eastAsia="黑体" w:cs="Times New Roman"/>
          <w:sz w:val="32"/>
          <w:szCs w:val="32"/>
        </w:rPr>
        <w:t>四、财政拨款</w:t>
      </w:r>
      <w:r>
        <w:rPr>
          <w:rFonts w:ascii="黑体" w:hAnsi="黑体" w:eastAsia="黑体" w:cs="Times New Roman"/>
          <w:sz w:val="32"/>
          <w:szCs w:val="32"/>
        </w:rPr>
        <w:t>“</w:t>
      </w:r>
      <w:r>
        <w:rPr>
          <w:rFonts w:hint="eastAsia" w:ascii="黑体" w:hAnsi="黑体" w:eastAsia="黑体" w:cs="Times New Roman"/>
          <w:sz w:val="32"/>
          <w:szCs w:val="32"/>
        </w:rPr>
        <w:t>三公</w:t>
      </w:r>
      <w:r>
        <w:rPr>
          <w:rFonts w:ascii="黑体" w:hAnsi="黑体" w:eastAsia="黑体" w:cs="Times New Roman"/>
          <w:sz w:val="32"/>
          <w:szCs w:val="32"/>
        </w:rPr>
        <w:t>”</w:t>
      </w:r>
      <w:r>
        <w:rPr>
          <w:rFonts w:hint="eastAsia" w:ascii="黑体" w:hAnsi="黑体" w:eastAsia="黑体" w:cs="Times New Roman"/>
          <w:sz w:val="32"/>
          <w:szCs w:val="32"/>
        </w:rPr>
        <w:t>经费预算情况及增减变化原因</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2019年，我</w:t>
      </w:r>
      <w:r>
        <w:rPr>
          <w:rFonts w:hint="eastAsia" w:ascii="仿宋_GB2312" w:hAnsi="仿宋_GB2312" w:eastAsia="仿宋_GB2312" w:cs="仿宋_GB2312"/>
          <w:sz w:val="32"/>
          <w:szCs w:val="32"/>
          <w:lang w:eastAsia="zh-CN"/>
        </w:rPr>
        <w:t>镇</w:t>
      </w:r>
      <w:r>
        <w:rPr>
          <w:rFonts w:hint="eastAsia" w:ascii="仿宋_GB2312" w:hAnsi="仿宋_GB2312" w:eastAsia="仿宋_GB2312" w:cs="仿宋_GB2312"/>
          <w:sz w:val="32"/>
          <w:szCs w:val="32"/>
        </w:rPr>
        <w:t>财政拨款“三公”经费预算安排</w:t>
      </w:r>
      <w:r>
        <w:rPr>
          <w:rFonts w:hint="eastAsia" w:ascii="仿宋_GB2312" w:hAnsi="仿宋_GB2312" w:eastAsia="仿宋_GB2312" w:cs="仿宋_GB2312"/>
          <w:sz w:val="32"/>
          <w:szCs w:val="32"/>
          <w:lang w:val="en-US" w:eastAsia="zh-CN"/>
        </w:rPr>
        <w:t>5.4</w:t>
      </w:r>
      <w:r>
        <w:rPr>
          <w:rFonts w:hint="eastAsia" w:ascii="仿宋_GB2312" w:hAnsi="仿宋_GB2312" w:eastAsia="仿宋_GB2312" w:cs="仿宋_GB2312"/>
          <w:sz w:val="32"/>
          <w:szCs w:val="32"/>
        </w:rPr>
        <w:t>万元，其中因公出国（境）费</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万元；公务用车购置及运维费</w:t>
      </w:r>
      <w:r>
        <w:rPr>
          <w:rFonts w:hint="eastAsia" w:ascii="仿宋_GB2312" w:hAnsi="仿宋_GB2312" w:eastAsia="仿宋_GB2312" w:cs="仿宋_GB2312"/>
          <w:sz w:val="32"/>
          <w:szCs w:val="32"/>
          <w:lang w:val="en-US" w:eastAsia="zh-CN"/>
        </w:rPr>
        <w:t>5.4</w:t>
      </w:r>
      <w:r>
        <w:rPr>
          <w:rFonts w:hint="eastAsia" w:ascii="仿宋_GB2312" w:hAnsi="仿宋_GB2312" w:eastAsia="仿宋_GB2312" w:cs="仿宋_GB2312"/>
          <w:sz w:val="32"/>
          <w:szCs w:val="32"/>
        </w:rPr>
        <w:t>万元（其中：公务用车购置费为0万元，公务用车运维费</w:t>
      </w:r>
      <w:r>
        <w:rPr>
          <w:rFonts w:hint="eastAsia" w:ascii="仿宋_GB2312" w:hAnsi="仿宋_GB2312" w:eastAsia="仿宋_GB2312" w:cs="仿宋_GB2312"/>
          <w:sz w:val="32"/>
          <w:szCs w:val="32"/>
          <w:lang w:val="en-US" w:eastAsia="zh-CN"/>
        </w:rPr>
        <w:t>5.4</w:t>
      </w:r>
      <w:r>
        <w:rPr>
          <w:rFonts w:hint="eastAsia" w:ascii="仿宋_GB2312" w:hAnsi="仿宋_GB2312" w:eastAsia="仿宋_GB2312" w:cs="仿宋_GB2312"/>
          <w:sz w:val="32"/>
          <w:szCs w:val="32"/>
        </w:rPr>
        <w:t>万元)；公务接待费</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万元。与2018年相比减少</w:t>
      </w:r>
      <w:r>
        <w:rPr>
          <w:rFonts w:hint="eastAsia" w:ascii="仿宋_GB2312" w:hAnsi="仿宋_GB2312" w:eastAsia="仿宋_GB2312" w:cs="仿宋_GB2312"/>
          <w:sz w:val="32"/>
          <w:szCs w:val="32"/>
          <w:lang w:val="en-US" w:eastAsia="zh-CN"/>
        </w:rPr>
        <w:t>2.7万元</w:t>
      </w:r>
      <w:r>
        <w:rPr>
          <w:rFonts w:hint="eastAsia" w:ascii="仿宋_GB2312" w:hAnsi="仿宋_GB2312" w:eastAsia="仿宋_GB2312" w:cs="仿宋_GB2312"/>
          <w:sz w:val="32"/>
          <w:szCs w:val="32"/>
        </w:rPr>
        <w:t>，减少的主要原因是：减少</w:t>
      </w:r>
      <w:r>
        <w:rPr>
          <w:rFonts w:hint="eastAsia" w:ascii="仿宋_GB2312" w:hAnsi="仿宋_GB2312" w:eastAsia="仿宋_GB2312" w:cs="仿宋_GB2312"/>
          <w:sz w:val="32"/>
          <w:szCs w:val="32"/>
          <w:lang w:eastAsia="zh-CN"/>
        </w:rPr>
        <w:t>一辆</w:t>
      </w:r>
      <w:r>
        <w:rPr>
          <w:rFonts w:hint="eastAsia" w:ascii="仿宋_GB2312" w:hAnsi="仿宋_GB2312" w:eastAsia="仿宋_GB2312" w:cs="仿宋_GB2312"/>
          <w:sz w:val="32"/>
          <w:szCs w:val="32"/>
        </w:rPr>
        <w:t>公务用车，相应减少公务用车运维费。</w:t>
      </w:r>
    </w:p>
    <w:p>
      <w:pPr>
        <w:ind w:firstLine="640"/>
        <w:rPr>
          <w:rFonts w:ascii="黑体" w:hAnsi="黑体" w:eastAsia="黑体" w:cs="Times New Roman"/>
          <w:sz w:val="32"/>
          <w:szCs w:val="32"/>
        </w:rPr>
      </w:pPr>
      <w:r>
        <w:rPr>
          <w:rFonts w:hint="eastAsia" w:ascii="黑体" w:hAnsi="黑体" w:eastAsia="黑体" w:cs="Times New Roman"/>
          <w:sz w:val="32"/>
          <w:szCs w:val="32"/>
        </w:rPr>
        <w:t>五、绩效预算信息</w:t>
      </w:r>
    </w:p>
    <w:p>
      <w:pPr>
        <w:ind w:firstLine="643" w:firstLineChars="200"/>
        <w:jc w:val="left"/>
        <w:rPr>
          <w:rFonts w:ascii="Times New Roman" w:hAnsi="Times New Roman" w:eastAsia="方正仿宋_GBK" w:cs="Times New Roman"/>
          <w:b/>
          <w:sz w:val="32"/>
          <w:szCs w:val="32"/>
        </w:rPr>
      </w:pPr>
      <w:bookmarkStart w:id="0" w:name="_Toc471398463"/>
      <w:r>
        <w:rPr>
          <w:rFonts w:ascii="Times New Roman" w:hAnsi="Times New Roman" w:eastAsia="方正仿宋_GBK" w:cs="Times New Roman"/>
          <w:b/>
          <w:sz w:val="32"/>
          <w:szCs w:val="32"/>
        </w:rPr>
        <w:t>总体绩效目标：</w:t>
      </w:r>
    </w:p>
    <w:p>
      <w:pPr>
        <w:spacing w:line="500" w:lineRule="exact"/>
        <w:ind w:firstLine="56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2019年预期目标，财政收入同比增长10%；公共预算收入同比增长10%；全镇规模以上工业产值同比增长10%；固定资产投资同比增长10%；抓好信访稳定工作，重点信访苗头隐患年终化解率达到95%以上；交办的信访案件按期结案率达到85%以上；在15日内采取不同方式及时办理群众来电来信事件。提升乡镇司法所人员管理水平，做好15余名社区矫正服刑人员监管教育帮扶工作。 以农村教育为重点，推进义务教育均衡发展。计划建设中心幼儿园一座，占地10亩。丰富我镇群众精神文化生活，开展40场志愿者课堂活动。提高我镇社会保险参保率，100%落实社会保险待遇。保障我镇454名退役士兵合法权益，做好稳控工作。坚持计划生育基本国策，提供各类计划生育技术服务。协助卫生院做好0-6岁儿童保健及预防工作及65岁以上重点人群高血压、糖尿病人群摸底上报工作。落实我镇2019年约120户农村独生子女计划生育家庭奖励，特别扶助13个“失独家庭”及暖心行动的8个圆梦女孩</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全镇人口系统统计百分求实录入。抓好大气污染防治工作，预警落实率达到100%；清除小散乱污企业，杜绝裸露黄土地；计划完成7个农村312户厕所改造，保护农村自然生活环境。实现全镇煤改气工程基础管道铺设，改用天然气炉具供暖。加强山尹村镇环境综合治理，提升环境容貌，每日洒水清扫街道，抑制扬尘，保证7个村近40个垃圾池中的生活垃圾日清，并在辖区内选取1处建筑垃圾倾倒点，解决农村建筑垃圾处理难题。保障山尹村镇农民基本农田收入，有效减少镇域约10000亩农田植物疫情及病虫危害,促进农业健康发展。改善生态环境，完成4条通村路绿化及上级政府制定的造林任务及全区森林覆盖率考核目标。保障镇域7村排水沟畅通，维护农田水利基础设施，做好夏季洪水防范和农田基本灌溉工作。加强本镇辖区内80余家大中小企业安全生产事故排查和食品安全排查，加大事故隐患治理力度。</w:t>
      </w:r>
    </w:p>
    <w:p>
      <w:pPr>
        <w:ind w:firstLine="560"/>
        <w:rPr>
          <w:rFonts w:hint="eastAsia" w:ascii="仿宋_GB2312" w:hAnsi="仿宋_GB2312" w:eastAsia="仿宋_GB2312" w:cs="仿宋_GB2312"/>
          <w:sz w:val="32"/>
          <w:szCs w:val="32"/>
        </w:rPr>
      </w:pPr>
    </w:p>
    <w:p>
      <w:pPr>
        <w:ind w:firstLine="643" w:firstLineChars="200"/>
        <w:jc w:val="left"/>
        <w:rPr>
          <w:rFonts w:ascii="Times New Roman" w:hAnsi="Times New Roman" w:eastAsia="方正仿宋_GBK" w:cs="Times New Roman"/>
          <w:b/>
          <w:sz w:val="32"/>
          <w:szCs w:val="32"/>
        </w:rPr>
      </w:pPr>
      <w:r>
        <w:rPr>
          <w:rFonts w:hint="eastAsia" w:ascii="Times New Roman" w:hAnsi="Times New Roman" w:eastAsia="方正仿宋_GBK" w:cs="Times New Roman"/>
          <w:b/>
          <w:sz w:val="32"/>
          <w:szCs w:val="32"/>
        </w:rPr>
        <w:t>职责分类绩效目标：</w:t>
      </w:r>
    </w:p>
    <w:p>
      <w:pPr>
        <w:spacing w:line="500" w:lineRule="exact"/>
        <w:ind w:firstLine="56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一是</w:t>
      </w:r>
      <w:r>
        <w:rPr>
          <w:rFonts w:hint="eastAsia" w:ascii="仿宋_GB2312" w:hAnsi="仿宋_GB2312" w:eastAsia="仿宋_GB2312" w:cs="仿宋_GB2312"/>
          <w:sz w:val="32"/>
          <w:szCs w:val="32"/>
        </w:rPr>
        <w:t>完成人大代表议政、人大会，做好各项工作的迎查、考核，完成乡镇财政计划和经济发展规划，做好统计、财政、审计工作；做好与国税、地税、工商等部门的社会事务工作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完成人大代表议政、人代会，做好各项工作的迎查、考核，完成乡镇财政计划和经济发展规划，做好统计、财政、审计工作；做好与武装部、国税、地税、市场监督管理局等各职责部门的社会事务工作。完成机关日常事务，搞好文秘、档案管理、政务公开和机关后勤保障工作；做好单位在职、退休职工社保及工勤人员社保等工作；对重点信访人做好稳控工作，不出现越级访、进京访、集体访。</w:t>
      </w:r>
    </w:p>
    <w:p>
      <w:pPr>
        <w:spacing w:line="500" w:lineRule="exact"/>
        <w:ind w:firstLine="56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二是</w:t>
      </w:r>
      <w:r>
        <w:rPr>
          <w:rFonts w:hint="eastAsia" w:ascii="仿宋_GB2312" w:hAnsi="仿宋_GB2312" w:eastAsia="仿宋_GB2312" w:cs="仿宋_GB2312"/>
          <w:sz w:val="32"/>
          <w:szCs w:val="32"/>
        </w:rPr>
        <w:t>配合农业部门做好农业技术服务和技术推广及动物防疫，加强农业基本建设，增强农业抗御自然灾害的能力。配合林业部门做好林业技术服务和技术推广，做好森林培育和护林防火工作,提高绿化成活率和森林覆盖率,退耕还林资金发放工作。配合水利部门做好农田水机基础设施建设、开展群众安全饮水项目，提高水土保持，农田灌溉节水面积。做好农村一事一议档案的统一管理、监督项目的运行情况、督促项目的及时完成及确保完成质量。做好大学生村官管理工作；负责村级组织支出补助、生产资料补贴工作；负责城乡社区事务、农村环境卫生、大气治污及公共设施建设。</w:t>
      </w:r>
    </w:p>
    <w:p>
      <w:pPr>
        <w:spacing w:line="500" w:lineRule="exact"/>
        <w:ind w:firstLine="56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三是</w:t>
      </w:r>
      <w:r>
        <w:rPr>
          <w:rFonts w:hint="eastAsia" w:ascii="仿宋_GB2312" w:hAnsi="仿宋_GB2312" w:eastAsia="仿宋_GB2312" w:cs="仿宋_GB2312"/>
          <w:sz w:val="32"/>
          <w:szCs w:val="32"/>
        </w:rPr>
        <w:t>配合食品药品监督管理的协调、督导，做好新型农村合作医疗等卫生方面工作，加强卫生院硬件建设。负责计生奖扶工作，负责计划生育技术服务及人口生育管理，负责育龄妇女普查、妇女病防治、四术及协会等项工作。</w:t>
      </w:r>
    </w:p>
    <w:p>
      <w:pPr>
        <w:spacing w:line="500" w:lineRule="exact"/>
        <w:ind w:firstLine="56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四是</w:t>
      </w:r>
      <w:r>
        <w:rPr>
          <w:rFonts w:hint="eastAsia" w:ascii="仿宋_GB2312" w:hAnsi="仿宋_GB2312" w:eastAsia="仿宋_GB2312" w:cs="仿宋_GB2312"/>
          <w:sz w:val="32"/>
          <w:szCs w:val="32"/>
        </w:rPr>
        <w:t>负责群众文化娱乐、宣传、体育活动、广播电视村村通等工作；加快文化站建设及高效使用、提高精神文明创建工作；</w:t>
      </w:r>
    </w:p>
    <w:p>
      <w:pPr>
        <w:spacing w:line="500" w:lineRule="exact"/>
        <w:ind w:firstLine="56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五是</w:t>
      </w:r>
      <w:r>
        <w:rPr>
          <w:rFonts w:hint="eastAsia" w:ascii="仿宋_GB2312" w:hAnsi="仿宋_GB2312" w:eastAsia="仿宋_GB2312" w:cs="仿宋_GB2312"/>
          <w:sz w:val="32"/>
          <w:szCs w:val="32"/>
        </w:rPr>
        <w:t>配合人事劳动保障部门做好劳动法的宣传贯彻、劳动就业、社会保障等工作；提高城镇居民医疗、社会养老参保率，做好农村低保五保、贫困、退役军人服务救助等工作，救灾物资发放工作。负责就业创业扶持政策宣传引导，建立就业服务体系，组织职业培训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负责城乡居民最低生活保障、五保供养、医疗救助。组织协调全县防灾减灾救灾工作。组织核查并统一发布灾情。</w:t>
      </w:r>
    </w:p>
    <w:p>
      <w:pPr>
        <w:spacing w:line="500" w:lineRule="exact"/>
        <w:ind w:firstLine="56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六是</w:t>
      </w:r>
      <w:r>
        <w:rPr>
          <w:rFonts w:hint="eastAsia" w:ascii="仿宋_GB2312" w:hAnsi="仿宋_GB2312" w:eastAsia="仿宋_GB2312" w:cs="仿宋_GB2312"/>
          <w:sz w:val="32"/>
          <w:szCs w:val="32"/>
        </w:rPr>
        <w:t>负责城乡公用基础设施建设，安全和应急管理；拟定村庄和小城镇建设政策并指导实施，改善人居环境；负责交通道路建设、修整工作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项目占地对群众补偿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解决影响群众生活健康的生活饮用水、生活垃圾及清理，境域内卫生清扫。</w:t>
      </w:r>
    </w:p>
    <w:p>
      <w:pPr>
        <w:spacing w:line="500" w:lineRule="exact"/>
        <w:ind w:firstLine="56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七是</w:t>
      </w:r>
      <w:r>
        <w:rPr>
          <w:rFonts w:hint="eastAsia" w:ascii="仿宋_GB2312" w:hAnsi="仿宋_GB2312" w:eastAsia="仿宋_GB2312" w:cs="仿宋_GB2312"/>
          <w:sz w:val="32"/>
          <w:szCs w:val="32"/>
        </w:rPr>
        <w:t>组织指导农村集体自治组织民主选举、民主决策、民主管理和民主监督，村务政务公开工作，基层干部培训工作，指导城乡社区建设及服务管理工作。</w:t>
      </w:r>
    </w:p>
    <w:p>
      <w:pPr>
        <w:spacing w:line="500" w:lineRule="exact"/>
        <w:ind w:firstLine="56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八是</w:t>
      </w:r>
      <w:r>
        <w:rPr>
          <w:rFonts w:hint="eastAsia" w:ascii="仿宋_GB2312" w:hAnsi="仿宋_GB2312" w:eastAsia="仿宋_GB2312" w:cs="仿宋_GB2312"/>
          <w:sz w:val="32"/>
          <w:szCs w:val="32"/>
        </w:rPr>
        <w:t>开展矛盾纠纷排查调处，及时掌握神情民意、动态信息，建立矛盾纠纷排查调处工作台账，与司法调解紧密衔接，协调处置各类突发性和群体性事件。维护辖区内公共安全和社会稳定，打击并取缔各种非法宗教活动；组织、指导、协调、参与重大突发事件处置和大型活动安保工作。</w:t>
      </w:r>
    </w:p>
    <w:p>
      <w:pPr>
        <w:spacing w:line="500" w:lineRule="exact"/>
        <w:ind w:firstLine="56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九是</w:t>
      </w:r>
      <w:r>
        <w:rPr>
          <w:rFonts w:hint="eastAsia" w:ascii="仿宋_GB2312" w:hAnsi="仿宋_GB2312" w:eastAsia="仿宋_GB2312" w:cs="仿宋_GB2312"/>
          <w:sz w:val="32"/>
          <w:szCs w:val="32"/>
        </w:rPr>
        <w:t>通过安全生产宣传教育，进行安全事故隐患排查，降低和消除各种安全隐患。</w:t>
      </w:r>
    </w:p>
    <w:p>
      <w:pPr>
        <w:spacing w:line="500" w:lineRule="exact"/>
        <w:ind w:firstLine="56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十是</w:t>
      </w:r>
      <w:r>
        <w:rPr>
          <w:rFonts w:hint="eastAsia" w:ascii="仿宋_GB2312" w:hAnsi="仿宋_GB2312" w:eastAsia="仿宋_GB2312" w:cs="仿宋_GB2312"/>
          <w:sz w:val="32"/>
          <w:szCs w:val="32"/>
        </w:rPr>
        <w:t>提高义务教育公用经费保障水平，改善办学条件，均衡配置基础教育资源，缩小城乡、区域、校际之间办学差距，落实学生资助政策。</w:t>
      </w:r>
    </w:p>
    <w:p>
      <w:pPr>
        <w:spacing w:line="500" w:lineRule="exact"/>
        <w:ind w:firstLine="56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十一是</w:t>
      </w:r>
      <w:r>
        <w:rPr>
          <w:rFonts w:hint="eastAsia" w:ascii="仿宋_GB2312" w:hAnsi="仿宋_GB2312" w:eastAsia="仿宋_GB2312" w:cs="仿宋_GB2312"/>
          <w:sz w:val="32"/>
          <w:szCs w:val="32"/>
        </w:rPr>
        <w:t>通过淘汰落后产能、提高企业清洁生产和污染物排放标准等措施，推进主要污染物减排，促进结构调整和加快转变经济发展方式。</w:t>
      </w:r>
    </w:p>
    <w:p>
      <w:pPr>
        <w:spacing w:line="500" w:lineRule="exact"/>
        <w:ind w:firstLine="560"/>
        <w:rPr>
          <w:rFonts w:hint="eastAsia" w:ascii="仿宋_GB2312" w:hAnsi="仿宋_GB2312" w:eastAsia="仿宋_GB2312" w:cs="仿宋_GB2312"/>
          <w:sz w:val="32"/>
          <w:szCs w:val="32"/>
        </w:rPr>
      </w:pPr>
    </w:p>
    <w:p>
      <w:pPr>
        <w:spacing w:line="500" w:lineRule="exact"/>
        <w:ind w:firstLine="560"/>
        <w:rPr>
          <w:rFonts w:hint="eastAsia" w:ascii="仿宋_GB2312" w:hAnsi="仿宋_GB2312" w:eastAsia="仿宋_GB2312" w:cs="仿宋_GB2312"/>
          <w:sz w:val="32"/>
          <w:szCs w:val="32"/>
        </w:rPr>
      </w:pPr>
    </w:p>
    <w:p>
      <w:pPr>
        <w:spacing w:line="500" w:lineRule="exact"/>
        <w:ind w:firstLine="560"/>
        <w:rPr>
          <w:rFonts w:ascii="方正仿宋_GBK" w:eastAsia="方正仿宋_GBK"/>
          <w:sz w:val="28"/>
        </w:rPr>
      </w:pPr>
    </w:p>
    <w:p>
      <w:pPr>
        <w:spacing w:line="500" w:lineRule="exact"/>
        <w:ind w:firstLine="560"/>
        <w:rPr>
          <w:rFonts w:ascii="方正仿宋_GBK" w:eastAsia="方正仿宋_GBK"/>
          <w:sz w:val="28"/>
        </w:rPr>
      </w:pPr>
    </w:p>
    <w:p>
      <w:pPr>
        <w:spacing w:line="500" w:lineRule="exact"/>
        <w:ind w:firstLine="560"/>
        <w:rPr>
          <w:rFonts w:ascii="方正仿宋_GBK" w:eastAsia="方正仿宋_GBK"/>
          <w:sz w:val="28"/>
        </w:rPr>
      </w:pPr>
    </w:p>
    <w:p>
      <w:pPr>
        <w:spacing w:line="500" w:lineRule="exact"/>
        <w:ind w:firstLine="560"/>
        <w:rPr>
          <w:rFonts w:ascii="方正仿宋_GBK" w:eastAsia="方正仿宋_GBK"/>
          <w:sz w:val="28"/>
        </w:rPr>
      </w:pPr>
    </w:p>
    <w:p>
      <w:pPr>
        <w:rPr>
          <w:rFonts w:ascii="楷体_GB2312" w:hAnsi="Times New Roman" w:eastAsia="楷体_GB2312" w:cs="Times New Roman"/>
          <w:b/>
          <w:sz w:val="32"/>
          <w:szCs w:val="32"/>
        </w:rPr>
      </w:pPr>
      <w:r>
        <w:rPr>
          <w:rFonts w:hint="eastAsia" w:ascii="楷体_GB2312" w:hAnsi="黑体" w:eastAsia="楷体_GB2312" w:cs="Times New Roman"/>
          <w:b/>
          <w:sz w:val="32"/>
          <w:szCs w:val="32"/>
        </w:rPr>
        <w:t>部门职责及工作活动绩效目标指标：</w:t>
      </w:r>
    </w:p>
    <w:bookmarkEnd w:id="0"/>
    <w:p>
      <w:pPr>
        <w:jc w:val="center"/>
        <w:outlineLvl w:val="0"/>
        <w:rPr>
          <w:rFonts w:ascii="方正小标宋_GBK" w:eastAsia="方正小标宋_GBK"/>
          <w:color w:val="FFFFFF"/>
          <w:sz w:val="32"/>
        </w:rPr>
      </w:pPr>
      <w:bookmarkStart w:id="1" w:name="_Toc2536507"/>
      <w:r>
        <w:rPr>
          <w:rFonts w:hint="eastAsia" w:ascii="方正小标宋_GBK" w:eastAsia="方正小标宋_GBK"/>
          <w:sz w:val="32"/>
        </w:rPr>
        <w:t>部门职责-工作活动绩效目标</w:t>
      </w:r>
      <w:r>
        <w:rPr>
          <w:rStyle w:val="12"/>
          <w:rFonts w:ascii="方正小标宋_GBK" w:eastAsia="方正小标宋_GBK"/>
          <w:color w:val="FFFFFF"/>
          <w:sz w:val="32"/>
        </w:rPr>
        <w:footnoteReference w:id="0" w:customMarkFollows="1"/>
        <w:sym w:font="Symbol" w:char="F020"/>
      </w:r>
      <w:bookmarkEnd w:id="1"/>
    </w:p>
    <w:tbl>
      <w:tblPr>
        <w:tblStyle w:val="8"/>
        <w:tblW w:w="1393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341"/>
        <w:gridCol w:w="1276"/>
        <w:gridCol w:w="2976"/>
        <w:gridCol w:w="2976"/>
        <w:gridCol w:w="1417"/>
        <w:gridCol w:w="737"/>
        <w:gridCol w:w="737"/>
        <w:gridCol w:w="737"/>
        <w:gridCol w:w="73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10986" w:type="dxa"/>
            <w:gridSpan w:val="5"/>
            <w:tcBorders>
              <w:top w:val="single" w:color="FFFFFF" w:sz="6" w:space="0"/>
              <w:left w:val="single" w:color="FFFFFF" w:sz="6" w:space="0"/>
              <w:right w:val="single" w:color="FFFFFF" w:sz="6" w:space="0"/>
            </w:tcBorders>
            <w:shd w:val="clear" w:color="auto" w:fill="auto"/>
            <w:noWrap w:val="0"/>
            <w:vAlign w:val="center"/>
          </w:tcPr>
          <w:p>
            <w:pPr>
              <w:spacing w:line="300" w:lineRule="exact"/>
              <w:jc w:val="left"/>
              <w:rPr>
                <w:rFonts w:ascii="方正小标宋_GBK" w:eastAsia="方正小标宋_GBK"/>
                <w:sz w:val="24"/>
              </w:rPr>
            </w:pPr>
            <w:r>
              <w:rPr>
                <w:rFonts w:ascii="方正小标宋_GBK" w:eastAsia="方正小标宋_GBK"/>
                <w:sz w:val="24"/>
              </w:rPr>
              <w:t>816</w:t>
            </w:r>
            <w:r>
              <w:rPr>
                <w:rFonts w:hint="eastAsia" w:ascii="方正小标宋_GBK" w:eastAsia="方正小标宋_GBK"/>
                <w:sz w:val="24"/>
              </w:rPr>
              <w:t>石家庄市鹿泉区山尹村镇人民政府</w:t>
            </w:r>
          </w:p>
        </w:tc>
        <w:tc>
          <w:tcPr>
            <w:tcW w:w="2948" w:type="dxa"/>
            <w:gridSpan w:val="4"/>
            <w:tcBorders>
              <w:top w:val="single" w:color="FFFFFF" w:sz="6" w:space="0"/>
              <w:left w:val="single" w:color="FFFFFF" w:sz="6" w:space="0"/>
              <w:right w:val="single" w:color="FFFFFF" w:sz="6" w:space="0"/>
            </w:tcBorders>
            <w:shd w:val="clear" w:color="auto" w:fill="auto"/>
            <w:noWrap w:val="0"/>
            <w:vAlign w:val="center"/>
          </w:tcPr>
          <w:p>
            <w:pPr>
              <w:spacing w:line="300" w:lineRule="exact"/>
              <w:jc w:val="right"/>
              <w:rPr>
                <w:rFonts w:ascii="方正书宋_GBK" w:eastAsia="方正书宋_GBK"/>
                <w:sz w:val="24"/>
              </w:rPr>
            </w:pPr>
            <w:r>
              <w:rPr>
                <w:rFonts w:hint="eastAsia" w:ascii="方正书宋_GBK" w:eastAsia="方正书宋_GBK"/>
                <w:sz w:val="24"/>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2341"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职责活动</w:t>
            </w:r>
          </w:p>
        </w:tc>
        <w:tc>
          <w:tcPr>
            <w:tcW w:w="1276"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年度预算数</w:t>
            </w:r>
          </w:p>
        </w:tc>
        <w:tc>
          <w:tcPr>
            <w:tcW w:w="2976"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内容描述</w:t>
            </w:r>
          </w:p>
        </w:tc>
        <w:tc>
          <w:tcPr>
            <w:tcW w:w="2976"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1417"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绩效指标</w:t>
            </w:r>
          </w:p>
        </w:tc>
        <w:tc>
          <w:tcPr>
            <w:tcW w:w="2948" w:type="dxa"/>
            <w:gridSpan w:val="4"/>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评价标准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2341" w:type="dxa"/>
            <w:vMerge w:val="continue"/>
            <w:shd w:val="clear" w:color="auto" w:fill="auto"/>
            <w:noWrap w:val="0"/>
            <w:vAlign w:val="center"/>
          </w:tcPr>
          <w:p>
            <w:pPr>
              <w:spacing w:line="300" w:lineRule="exact"/>
              <w:jc w:val="left"/>
              <w:outlineLvl w:val="0"/>
            </w:pPr>
          </w:p>
        </w:tc>
        <w:tc>
          <w:tcPr>
            <w:tcW w:w="1276" w:type="dxa"/>
            <w:vMerge w:val="continue"/>
            <w:shd w:val="clear" w:color="auto" w:fill="auto"/>
            <w:noWrap w:val="0"/>
            <w:vAlign w:val="center"/>
          </w:tcPr>
          <w:p>
            <w:pPr>
              <w:spacing w:line="300" w:lineRule="exact"/>
              <w:jc w:val="left"/>
              <w:outlineLvl w:val="0"/>
            </w:pPr>
          </w:p>
        </w:tc>
        <w:tc>
          <w:tcPr>
            <w:tcW w:w="2976" w:type="dxa"/>
            <w:vMerge w:val="continue"/>
            <w:shd w:val="clear" w:color="auto" w:fill="auto"/>
            <w:noWrap w:val="0"/>
            <w:vAlign w:val="center"/>
          </w:tcPr>
          <w:p>
            <w:pPr>
              <w:spacing w:line="300" w:lineRule="exact"/>
              <w:jc w:val="left"/>
              <w:outlineLvl w:val="0"/>
            </w:pPr>
          </w:p>
        </w:tc>
        <w:tc>
          <w:tcPr>
            <w:tcW w:w="2976" w:type="dxa"/>
            <w:vMerge w:val="continue"/>
            <w:shd w:val="clear" w:color="auto" w:fill="auto"/>
            <w:noWrap w:val="0"/>
            <w:vAlign w:val="center"/>
          </w:tcPr>
          <w:p>
            <w:pPr>
              <w:spacing w:line="300" w:lineRule="exact"/>
              <w:jc w:val="left"/>
              <w:outlineLvl w:val="0"/>
            </w:pPr>
          </w:p>
        </w:tc>
        <w:tc>
          <w:tcPr>
            <w:tcW w:w="1417" w:type="dxa"/>
            <w:vMerge w:val="continue"/>
            <w:shd w:val="clear" w:color="auto" w:fill="auto"/>
            <w:noWrap w:val="0"/>
            <w:vAlign w:val="center"/>
          </w:tcPr>
          <w:p>
            <w:pPr>
              <w:spacing w:line="300" w:lineRule="exact"/>
              <w:jc w:val="left"/>
              <w:outlineLvl w:val="0"/>
            </w:pPr>
          </w:p>
        </w:tc>
        <w:tc>
          <w:tcPr>
            <w:tcW w:w="737"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优</w:t>
            </w:r>
          </w:p>
        </w:tc>
        <w:tc>
          <w:tcPr>
            <w:tcW w:w="737"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良</w:t>
            </w:r>
          </w:p>
        </w:tc>
        <w:tc>
          <w:tcPr>
            <w:tcW w:w="737"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中</w:t>
            </w:r>
          </w:p>
        </w:tc>
        <w:tc>
          <w:tcPr>
            <w:tcW w:w="737"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ascii="方正书宋_GBK" w:eastAsia="方正书宋_GBK"/>
                <w:b/>
              </w:rPr>
            </w:pPr>
            <w:r>
              <w:rPr>
                <w:rFonts w:hint="eastAsia" w:ascii="方正书宋_GBK" w:eastAsia="方正书宋_GBK"/>
                <w:b/>
              </w:rPr>
              <w:t>一、机关事务管理</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14.00</w:t>
            </w:r>
          </w:p>
        </w:tc>
        <w:tc>
          <w:tcPr>
            <w:tcW w:w="2976"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负责乡镇党委、政府各项工作的督导催办，处理机关日常事务，搞好文秘、档案管理、政务公开和机关后勤保障工作；负责相关党群单位的工作；抓好农村基层组织建设和民主政治建设。负责制定乡镇财政计划和经济发展规划；为招商引资、发展民营企业和第三产业提供服务；做好乡镇统计、财政、审计工作；　负责社会治安综合治理和司法工作；做好宗教工作，打击邪教；调处矛盾纠纷；做好群众来信来访、社会稳定等工作；负责精神文明和新农村建设，以及与武装部、国税、地税、市场监督管理局等各部门社会事务工作的指导服务和协调。</w:t>
            </w:r>
          </w:p>
        </w:tc>
        <w:tc>
          <w:tcPr>
            <w:tcW w:w="2976"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完成党委、政府各项工作；做好信访工作，维护社会稳定；完成乡镇财政计划和经济发展规划，做好统计、财政、审计工作；做好与武装部、国税、地税、市场监督管理局等各职责部门的社会事务工作。</w:t>
            </w:r>
          </w:p>
        </w:tc>
        <w:tc>
          <w:tcPr>
            <w:tcW w:w="1417" w:type="dxa"/>
            <w:shd w:val="clear" w:color="auto" w:fill="auto"/>
            <w:noWrap w:val="0"/>
            <w:vAlign w:val="center"/>
          </w:tcPr>
          <w:p>
            <w:pPr>
              <w:spacing w:line="300" w:lineRule="exact"/>
              <w:jc w:val="left"/>
              <w:rPr>
                <w:rFonts w:ascii="方正书宋_GBK" w:eastAsia="方正书宋_GBK"/>
              </w:rPr>
            </w:pPr>
          </w:p>
        </w:tc>
        <w:tc>
          <w:tcPr>
            <w:tcW w:w="737" w:type="dxa"/>
            <w:shd w:val="clear" w:color="auto" w:fill="auto"/>
            <w:noWrap w:val="0"/>
            <w:vAlign w:val="center"/>
          </w:tcPr>
          <w:p>
            <w:pPr>
              <w:spacing w:line="300" w:lineRule="exact"/>
              <w:jc w:val="center"/>
              <w:rPr>
                <w:rFonts w:ascii="方正书宋_GBK" w:eastAsia="方正书宋_GBK"/>
              </w:rPr>
            </w:pPr>
          </w:p>
        </w:tc>
        <w:tc>
          <w:tcPr>
            <w:tcW w:w="737" w:type="dxa"/>
            <w:shd w:val="clear" w:color="auto" w:fill="auto"/>
            <w:noWrap w:val="0"/>
            <w:vAlign w:val="center"/>
          </w:tcPr>
          <w:p>
            <w:pPr>
              <w:spacing w:line="300" w:lineRule="exact"/>
              <w:jc w:val="center"/>
              <w:rPr>
                <w:rFonts w:ascii="方正书宋_GBK" w:eastAsia="方正书宋_GBK"/>
              </w:rPr>
            </w:pPr>
          </w:p>
        </w:tc>
        <w:tc>
          <w:tcPr>
            <w:tcW w:w="737" w:type="dxa"/>
            <w:shd w:val="clear" w:color="auto" w:fill="auto"/>
            <w:noWrap w:val="0"/>
            <w:vAlign w:val="center"/>
          </w:tcPr>
          <w:p>
            <w:pPr>
              <w:spacing w:line="300" w:lineRule="exact"/>
              <w:jc w:val="center"/>
              <w:rPr>
                <w:rFonts w:ascii="方正书宋_GBK" w:eastAsia="方正书宋_GBK"/>
              </w:rPr>
            </w:pPr>
          </w:p>
        </w:tc>
        <w:tc>
          <w:tcPr>
            <w:tcW w:w="737" w:type="dxa"/>
            <w:shd w:val="clear" w:color="auto" w:fill="auto"/>
            <w:noWrap w:val="0"/>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、综合业务管理</w:t>
            </w:r>
          </w:p>
        </w:tc>
        <w:tc>
          <w:tcPr>
            <w:tcW w:w="1276" w:type="dxa"/>
            <w:vMerge w:val="restart"/>
            <w:shd w:val="clear" w:color="auto" w:fill="auto"/>
            <w:noWrap w:val="0"/>
            <w:vAlign w:val="center"/>
          </w:tcPr>
          <w:p>
            <w:pPr>
              <w:spacing w:line="300" w:lineRule="exact"/>
              <w:jc w:val="left"/>
              <w:rPr>
                <w:rFonts w:ascii="方正书宋_GBK" w:eastAsia="方正书宋_GBK"/>
              </w:rPr>
            </w:pP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负责人大代表议政、人代会，做好各项工作的迎查、考核完成乡镇财政计划和经济发展规划，做好统计、财政、审计工作；做好与武装部、国税、地税、市场监督管理局等各职责部门的社会事务工作。</w:t>
            </w: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完成人大代表议政、人代会，做好各项工作的迎查、考核，完成乡镇财政计划和经济发展规划，做好统计、财政、审计工作；做好与武装部、国税、地税、市场监督管理局等各职责部门的社会事务工作。</w:t>
            </w:r>
          </w:p>
        </w:tc>
        <w:tc>
          <w:tcPr>
            <w:tcW w:w="1417"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国税地税工商等部门的社会事务工作完成率；</w:t>
            </w:r>
          </w:p>
        </w:tc>
        <w:tc>
          <w:tcPr>
            <w:tcW w:w="737"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人大代表议政、人代会工作完成率；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统计、财政、审计工作完成率；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、综合事务管理</w:t>
            </w:r>
          </w:p>
        </w:tc>
        <w:tc>
          <w:tcPr>
            <w:tcW w:w="1276" w:type="dxa"/>
            <w:vMerge w:val="restart"/>
            <w:shd w:val="clear" w:color="auto" w:fill="auto"/>
            <w:noWrap w:val="0"/>
            <w:vAlign w:val="center"/>
          </w:tcPr>
          <w:p>
            <w:pPr>
              <w:spacing w:line="300" w:lineRule="exact"/>
              <w:jc w:val="left"/>
              <w:rPr>
                <w:rFonts w:ascii="方正书宋_GBK" w:eastAsia="方正书宋_GBK"/>
              </w:rPr>
            </w:pPr>
            <w:r>
              <w:rPr>
                <w:rFonts w:ascii="方正书宋_GBK" w:eastAsia="方正书宋_GBK"/>
              </w:rPr>
              <w:t>14.00</w:t>
            </w: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完成机关日常事务，搞好文秘、档案管理、政务公开和机关后勤保障工作；做好单位在职、退休职工社保及工勤人员社保等工作；</w:t>
            </w: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完成机关日常事务，搞好文秘、档案管理、政务公开和机关后勤保障工作；做好单位在职、退休职工社保及工勤人员社保等工作；</w:t>
            </w: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对单位在职、退休、及临时人员进行社保、管理工作完成率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开展机关日常事务，文秘、档案管理、政务公开和机关后勤保障工作完成率。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、信访专项</w:t>
            </w:r>
          </w:p>
        </w:tc>
        <w:tc>
          <w:tcPr>
            <w:tcW w:w="1276" w:type="dxa"/>
            <w:vMerge w:val="restart"/>
            <w:shd w:val="clear" w:color="auto" w:fill="auto"/>
            <w:noWrap w:val="0"/>
            <w:vAlign w:val="center"/>
          </w:tcPr>
          <w:p>
            <w:pPr>
              <w:spacing w:line="300" w:lineRule="exact"/>
              <w:jc w:val="left"/>
              <w:rPr>
                <w:rFonts w:ascii="方正书宋_GBK" w:eastAsia="方正书宋_GBK"/>
              </w:rPr>
            </w:pP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做好信访工作，维护社会稳定；</w:t>
            </w: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对重点信访人做好稳控工作，不出现越级访、进京访、集体访。</w:t>
            </w: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信访案件减少率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信访下降率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信访案件解决率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二、农业综合服务</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46.15</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负责配合农口部门（农、林、牧、水）做好农业技术服务和技术推广工作，动物防疫工作；加强农田水利基本建设，增强农业抗御自然灾害的能力。做好农村一事一议项目管理</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配合农口部门（农、林、牧、水）做好农业技术服务和技术推广工作，动物防疫工作；加强农田水利基本建设，增强农业抗御自然灾害的能力做好森林培育和护林防火工作。做好农村一事一议项目管理</w:t>
            </w:r>
          </w:p>
        </w:tc>
        <w:tc>
          <w:tcPr>
            <w:tcW w:w="1417" w:type="dxa"/>
            <w:shd w:val="clear" w:color="auto" w:fill="auto"/>
            <w:noWrap w:val="0"/>
            <w:vAlign w:val="center"/>
          </w:tcPr>
          <w:p>
            <w:pPr>
              <w:spacing w:line="300" w:lineRule="exact"/>
              <w:jc w:val="left"/>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、农业专项</w:t>
            </w:r>
          </w:p>
        </w:tc>
        <w:tc>
          <w:tcPr>
            <w:tcW w:w="1276" w:type="dxa"/>
            <w:vMerge w:val="restart"/>
            <w:shd w:val="clear" w:color="auto" w:fill="auto"/>
            <w:noWrap w:val="0"/>
            <w:vAlign w:val="center"/>
          </w:tcPr>
          <w:p>
            <w:pPr>
              <w:spacing w:line="300" w:lineRule="exact"/>
              <w:jc w:val="left"/>
              <w:rPr>
                <w:rFonts w:ascii="方正书宋_GBK" w:eastAsia="方正书宋_GBK"/>
              </w:rPr>
            </w:pPr>
            <w:r>
              <w:rPr>
                <w:rFonts w:ascii="方正书宋_GBK" w:eastAsia="方正书宋_GBK"/>
              </w:rPr>
              <w:t>16.15</w:t>
            </w: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配合农业部门做好农业技术服务和技术推广及动物防疫，加强农业基本建设，增强农业抗御自然灾害的能力。</w:t>
            </w: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提供群众满意的农业服务</w:t>
            </w: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措施覆盖率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动物防疫率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农业工作完成率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、林业专项</w:t>
            </w:r>
          </w:p>
        </w:tc>
        <w:tc>
          <w:tcPr>
            <w:tcW w:w="1276" w:type="dxa"/>
            <w:vMerge w:val="restart"/>
            <w:shd w:val="clear" w:color="auto" w:fill="auto"/>
            <w:noWrap w:val="0"/>
            <w:vAlign w:val="center"/>
          </w:tcPr>
          <w:p>
            <w:pPr>
              <w:spacing w:line="300" w:lineRule="exact"/>
              <w:jc w:val="left"/>
              <w:rPr>
                <w:rFonts w:ascii="方正书宋_GBK" w:eastAsia="方正书宋_GBK"/>
              </w:rPr>
            </w:pP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配合林业部门做好林业技术服务和技术推广，做好森林培育和护林防火工作</w:t>
            </w:r>
            <w:r>
              <w:rPr>
                <w:rFonts w:ascii="方正书宋_GBK" w:eastAsia="方正书宋_GBK"/>
              </w:rPr>
              <w:t>,</w:t>
            </w:r>
            <w:r>
              <w:rPr>
                <w:rFonts w:hint="eastAsia" w:ascii="方正书宋_GBK" w:eastAsia="方正书宋_GBK"/>
              </w:rPr>
              <w:t>提高绿化成活率和森林覆盖率</w:t>
            </w:r>
            <w:r>
              <w:rPr>
                <w:rFonts w:ascii="方正书宋_GBK" w:eastAsia="方正书宋_GBK"/>
              </w:rPr>
              <w:t>,</w:t>
            </w:r>
            <w:r>
              <w:rPr>
                <w:rFonts w:hint="eastAsia" w:ascii="方正书宋_GBK" w:eastAsia="方正书宋_GBK"/>
              </w:rPr>
              <w:t>退耕还林资金发放工作。</w:t>
            </w: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提高森林覆盖面积</w:t>
            </w: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发放完成率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绿化成活率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森林覆盖率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、水利专项</w:t>
            </w:r>
          </w:p>
        </w:tc>
        <w:tc>
          <w:tcPr>
            <w:tcW w:w="1276" w:type="dxa"/>
            <w:vMerge w:val="restart"/>
            <w:shd w:val="clear" w:color="auto" w:fill="auto"/>
            <w:noWrap w:val="0"/>
            <w:vAlign w:val="center"/>
          </w:tcPr>
          <w:p>
            <w:pPr>
              <w:spacing w:line="300" w:lineRule="exact"/>
              <w:jc w:val="left"/>
              <w:rPr>
                <w:rFonts w:ascii="方正书宋_GBK" w:eastAsia="方正书宋_GBK"/>
              </w:rPr>
            </w:pP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配合水利部门做好农田水机基础设施建设、开展群众安全饮水项目，提高水土保持，农田灌溉节水面积。</w:t>
            </w: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解决农村饮水安全问题</w:t>
            </w: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项目完成率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节水灌溉面积完成率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农村饮水安全人口率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4</w:t>
            </w:r>
            <w:r>
              <w:rPr>
                <w:rFonts w:hint="eastAsia" w:ascii="方正书宋_GBK" w:eastAsia="方正书宋_GBK"/>
                <w:b/>
              </w:rPr>
              <w:t>、一事一议专项</w:t>
            </w:r>
          </w:p>
        </w:tc>
        <w:tc>
          <w:tcPr>
            <w:tcW w:w="1276" w:type="dxa"/>
            <w:shd w:val="clear" w:color="auto" w:fill="auto"/>
            <w:noWrap w:val="0"/>
            <w:vAlign w:val="center"/>
          </w:tcPr>
          <w:p>
            <w:pPr>
              <w:spacing w:line="300" w:lineRule="exact"/>
              <w:jc w:val="left"/>
              <w:rPr>
                <w:rFonts w:ascii="方正书宋_GBK" w:eastAsia="方正书宋_GBK"/>
              </w:rPr>
            </w:pP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做好农村一事一议档案的统一管理、监督项目的运行情况、督促项目的及时完成及确保完成质量</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确保一事一议项目的顺利运行及实施</w:t>
            </w: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工作完成率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trHeight w:val="227" w:hRule="atLeast"/>
          <w:jc w:val="center"/>
        </w:trPr>
        <w:tc>
          <w:tcPr>
            <w:tcW w:w="2341" w:type="dxa"/>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5</w:t>
            </w:r>
            <w:r>
              <w:rPr>
                <w:rFonts w:hint="eastAsia" w:ascii="方正书宋_GBK" w:eastAsia="方正书宋_GBK"/>
                <w:b/>
              </w:rPr>
              <w:t>、综合业务管理</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30.00</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做好大学生村官管理工作；负责村级组织支出补助、生产资料补贴工作；负责城乡社区事务、农村环境卫生、大气治污及公共设施建设。</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做好大学生村官管理工作；完成村级组织支出补助、生产资料补贴工作；提升农村环境面貌</w:t>
            </w:r>
            <w:r>
              <w:rPr>
                <w:rFonts w:ascii="方正书宋_GBK" w:eastAsia="方正书宋_GBK"/>
              </w:rPr>
              <w:t>.</w:t>
            </w: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活动完成率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三、卫生计生服务</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12.38</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配合食品药品监督管理的协调、督导，做好新型农村合作医疗等卫生方面工作，负责计划生育技术服务及人口生育管理，负责育龄妇女普查、妇女病防治、四术及协会等项工作。</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做好与食品药品监督管理的协调、督导及卫生方面工作，做好计划生育技术服务，负责育龄妇女普查、妇女病防治、四术及协会工作。</w:t>
            </w:r>
          </w:p>
        </w:tc>
        <w:tc>
          <w:tcPr>
            <w:tcW w:w="1417" w:type="dxa"/>
            <w:shd w:val="clear" w:color="auto" w:fill="auto"/>
            <w:noWrap w:val="0"/>
            <w:vAlign w:val="center"/>
          </w:tcPr>
          <w:p>
            <w:pPr>
              <w:spacing w:line="300" w:lineRule="exact"/>
              <w:jc w:val="left"/>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、卫生专项</w:t>
            </w:r>
          </w:p>
        </w:tc>
        <w:tc>
          <w:tcPr>
            <w:tcW w:w="1276" w:type="dxa"/>
            <w:vMerge w:val="restart"/>
            <w:shd w:val="clear" w:color="auto" w:fill="auto"/>
            <w:noWrap w:val="0"/>
            <w:vAlign w:val="center"/>
          </w:tcPr>
          <w:p>
            <w:pPr>
              <w:spacing w:line="300" w:lineRule="exact"/>
              <w:jc w:val="left"/>
              <w:rPr>
                <w:rFonts w:ascii="方正书宋_GBK" w:eastAsia="方正书宋_GBK"/>
              </w:rPr>
            </w:pP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配合食品药品监督管理的协调、督导，做好新型农村合作医疗等卫生方面工作，加强卫生院硬件建设。</w:t>
            </w: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有效降低我镇居民看病就医的经济负担</w:t>
            </w: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卫生工作完成率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患者对医疗机构满意度</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重大疾病住院报销比例</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、计生专项</w:t>
            </w:r>
          </w:p>
        </w:tc>
        <w:tc>
          <w:tcPr>
            <w:tcW w:w="1276" w:type="dxa"/>
            <w:vMerge w:val="restart"/>
            <w:shd w:val="clear" w:color="auto" w:fill="auto"/>
            <w:noWrap w:val="0"/>
            <w:vAlign w:val="center"/>
          </w:tcPr>
          <w:p>
            <w:pPr>
              <w:spacing w:line="300" w:lineRule="exact"/>
              <w:jc w:val="left"/>
              <w:rPr>
                <w:rFonts w:ascii="方正书宋_GBK" w:eastAsia="方正书宋_GBK"/>
              </w:rPr>
            </w:pPr>
            <w:r>
              <w:rPr>
                <w:rFonts w:ascii="方正书宋_GBK" w:eastAsia="方正书宋_GBK"/>
              </w:rPr>
              <w:t>12.38</w:t>
            </w: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负责计生奖扶工作，负责计划生育技术服务及人口生育管理，负责育龄妇女普查、妇女病防治、四术及协会等项工作。</w:t>
            </w: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完成已婚育龄妇女生殖健康检查及普查工作，做好孕前优生检测指导。</w:t>
            </w: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各项计生奖励扶助、关怀资金发放率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ascii="方正书宋_GBK" w:eastAsia="方正书宋_GBK"/>
              </w:rPr>
              <w:t>100%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计划生育家庭特别扶助专项资金发放率</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孕前优生参检率</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四、文化综合服务</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11.70</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负责群众文化娱乐、体育活动、广播电视村村通等工作，负责文化站、邮政所等工作；</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文化指导及相关培训；组织群众性文体活动及交流；组织农村党员干部现代远程教育教学，负责文化站、邮政所等工作；</w:t>
            </w:r>
          </w:p>
        </w:tc>
        <w:tc>
          <w:tcPr>
            <w:tcW w:w="1417" w:type="dxa"/>
            <w:shd w:val="clear" w:color="auto" w:fill="auto"/>
            <w:noWrap w:val="0"/>
            <w:vAlign w:val="center"/>
          </w:tcPr>
          <w:p>
            <w:pPr>
              <w:spacing w:line="300" w:lineRule="exact"/>
              <w:jc w:val="left"/>
              <w:rPr>
                <w:rFonts w:hint="eastAsia" w:ascii="方正书宋_GBK" w:eastAsia="方正书宋_GBK"/>
              </w:rPr>
            </w:pPr>
          </w:p>
        </w:tc>
        <w:tc>
          <w:tcPr>
            <w:tcW w:w="737" w:type="dxa"/>
            <w:shd w:val="clear" w:color="auto" w:fill="auto"/>
            <w:noWrap w:val="0"/>
            <w:vAlign w:val="center"/>
          </w:tcPr>
          <w:p>
            <w:pPr>
              <w:spacing w:line="300" w:lineRule="exact"/>
              <w:jc w:val="center"/>
              <w:rPr>
                <w:rFonts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、文化专项</w:t>
            </w:r>
          </w:p>
        </w:tc>
        <w:tc>
          <w:tcPr>
            <w:tcW w:w="1276" w:type="dxa"/>
            <w:vMerge w:val="restart"/>
            <w:shd w:val="clear" w:color="auto" w:fill="auto"/>
            <w:noWrap w:val="0"/>
            <w:vAlign w:val="center"/>
          </w:tcPr>
          <w:p>
            <w:pPr>
              <w:spacing w:line="300" w:lineRule="exact"/>
              <w:jc w:val="left"/>
              <w:rPr>
                <w:rFonts w:ascii="方正书宋_GBK" w:eastAsia="方正书宋_GBK"/>
              </w:rPr>
            </w:pPr>
            <w:r>
              <w:rPr>
                <w:rFonts w:ascii="方正书宋_GBK" w:eastAsia="方正书宋_GBK"/>
              </w:rPr>
              <w:t>11.70</w:t>
            </w: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负责群众文化娱乐、宣传、体育活动、广播电视村村通等工作；加快文化站建设及高效使用、提高精神文明创建工作；</w:t>
            </w: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建立文化队伍组织，搞好农家书屋建设，活跃基层群众文化生活</w:t>
            </w: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群众参与度</w:t>
            </w:r>
          </w:p>
        </w:tc>
        <w:tc>
          <w:tcPr>
            <w:tcW w:w="737"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文化活动举办率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五、社会保障服务</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31.61</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配合劳动保障部门做好劳动法的宣传贯彻、劳动就业、社会保障等工作。配合安全生产监督管理部门做好安全生产监督管理等工作。配合城管部门做好村容村貌、环境卫生整治工作、交通运输管理工作等。</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保障部门做好相关宣传咨询工作；农村居民养老保险、民政低保、残疾、社会捐赠、社会救助等公益事务的办理等服务；配合安全生产监督管理部门做好安全生产监督管理等工作；配合城管部门做好村容村貌、环境卫生整治工作、交通运输管理工作等。</w:t>
            </w:r>
          </w:p>
        </w:tc>
        <w:tc>
          <w:tcPr>
            <w:tcW w:w="1417" w:type="dxa"/>
            <w:shd w:val="clear" w:color="auto" w:fill="auto"/>
            <w:noWrap w:val="0"/>
            <w:vAlign w:val="center"/>
          </w:tcPr>
          <w:p>
            <w:pPr>
              <w:spacing w:line="300" w:lineRule="exact"/>
              <w:jc w:val="left"/>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trHeight w:val="227" w:hRule="atLeast"/>
          <w:jc w:val="center"/>
        </w:trPr>
        <w:tc>
          <w:tcPr>
            <w:tcW w:w="2341" w:type="dxa"/>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、社保专项</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27.11</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配合人事劳动保障部门做好劳动法的宣传贯彻、劳动就业、社会保障等工作；提高城镇居民医疗、社会养老参保率，做好农村低保五保、贫困、退役军人服务救助等工作，救灾物资发放工作。</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保障部门做好相关宣传咨询工作；农村居民养老保险、民政低保、残疾、社会捐赠、社会救助等公益等事务办理等服务；配合安全生产监督管理部门做好安全生产监督管理等工作。</w:t>
            </w: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活动完成率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、促进就业管理专项</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4.50</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负责就业创业扶持政策宣传引导，建立就业服务体系，组织职业培训等。</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就业创业扶持政策宣传到位，建立就业服务体系，组织职业培训。</w:t>
            </w: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活动完成率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、扶贫救困</w:t>
            </w:r>
          </w:p>
        </w:tc>
        <w:tc>
          <w:tcPr>
            <w:tcW w:w="1276" w:type="dxa"/>
            <w:shd w:val="clear" w:color="auto" w:fill="auto"/>
            <w:noWrap w:val="0"/>
            <w:vAlign w:val="center"/>
          </w:tcPr>
          <w:p>
            <w:pPr>
              <w:spacing w:line="300" w:lineRule="exact"/>
              <w:jc w:val="left"/>
              <w:rPr>
                <w:rFonts w:ascii="方正书宋_GBK" w:eastAsia="方正书宋_GBK"/>
              </w:rPr>
            </w:pP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负责城乡居民最低生活保障、五保供养、医疗救助。组织协调全县防灾减灾救灾工作。组织核查并统一发布灾情。组织指导救灾捐赠工作，负责国内外救灾捐赠款物的接收管理和分</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实行动态管理</w:t>
            </w: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五保供养保障率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100%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小于</w:t>
            </w:r>
            <w:r>
              <w:rPr>
                <w:rFonts w:ascii="方正书宋_GBK" w:eastAsia="方正书宋_GBK"/>
              </w:rPr>
              <w: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六、城乡社区事务管理</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458.03</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负责城乡公用基础设施建设，安全和应急管理；拟定乡村发展规划、政策并指导实施；拟定村庄和小城镇建设政策并指导实施，改善人居环境；负责交通道路建设、修整工作；负责大气治污，企业转型升级改造工作</w:t>
            </w:r>
            <w:r>
              <w:rPr>
                <w:rFonts w:ascii="方正书宋_GBK" w:eastAsia="方正书宋_GBK"/>
              </w:rPr>
              <w:t>;</w:t>
            </w:r>
            <w:r>
              <w:rPr>
                <w:rFonts w:hint="eastAsia" w:ascii="方正书宋_GBK" w:eastAsia="方正书宋_GBK"/>
              </w:rPr>
              <w:t>负责境域内环境卫生清理整治工作；负责配合区卫生城创建工作，我区旅发大会召开工作。</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负责城乡公用基础设施建设，安全和应急管理；拟定乡村发展规划、政策并指导实施；拟定村庄和小城镇建设政策并指导实施，改善人居环境；负责交通道路建设、修整工作；负责大气治污，企业转型升级改造工作</w:t>
            </w:r>
            <w:r>
              <w:rPr>
                <w:rFonts w:ascii="方正书宋_GBK" w:eastAsia="方正书宋_GBK"/>
              </w:rPr>
              <w:t>;</w:t>
            </w:r>
            <w:r>
              <w:rPr>
                <w:rFonts w:hint="eastAsia" w:ascii="方正书宋_GBK" w:eastAsia="方正书宋_GBK"/>
              </w:rPr>
              <w:t>负责境域内环境卫生清理整治工作；负责配合区卫生城创建工作，我区旅发大会召开工作。</w:t>
            </w:r>
          </w:p>
        </w:tc>
        <w:tc>
          <w:tcPr>
            <w:tcW w:w="1417" w:type="dxa"/>
            <w:shd w:val="clear" w:color="auto" w:fill="auto"/>
            <w:noWrap w:val="0"/>
            <w:vAlign w:val="center"/>
          </w:tcPr>
          <w:p>
            <w:pPr>
              <w:spacing w:line="300" w:lineRule="exact"/>
              <w:jc w:val="left"/>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、基础设施建设</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205.25</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负责城乡公用基础设施建设，安全和应急管理；拟定村庄和小城镇建设政策并指导实施，改善人居环境；负责交通道路建设、修整工作；</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城乡基础设施建设</w:t>
            </w: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基础设施建设完成率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、项目占地安置补偿</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36.58</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项目占地对群众补偿</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对占地户生活有保障</w:t>
            </w: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活动完成率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大于等于</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大于等于</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大于等于</w:t>
            </w:r>
            <w:r>
              <w:rPr>
                <w:rFonts w:ascii="方正书宋_GBK" w:eastAsia="方正书宋_GBK"/>
              </w:rPr>
              <w:t>85%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小于</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trHeight w:val="227" w:hRule="atLeast"/>
          <w:jc w:val="center"/>
        </w:trPr>
        <w:tc>
          <w:tcPr>
            <w:tcW w:w="2341" w:type="dxa"/>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、农村环境卫生综合整治</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216.20</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解决影响群众生活健康的生活饮用水、生活垃圾及清理，境域内卫生清扫。</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使农村生活环境得到改善</w:t>
            </w: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解决农村区域突出环境问题、使农村生活环境得到改善</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大于等于</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大于等于</w:t>
            </w:r>
            <w:r>
              <w:rPr>
                <w:rFonts w:ascii="方正书宋_GBK" w:eastAsia="方正书宋_GBK"/>
              </w:rPr>
              <w:t>80%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大于等于</w:t>
            </w:r>
            <w:r>
              <w:rPr>
                <w:rFonts w:ascii="方正书宋_GBK" w:eastAsia="方正书宋_GBK"/>
              </w:rPr>
              <w:t>70%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小于</w:t>
            </w:r>
            <w:r>
              <w:rPr>
                <w:rFonts w:ascii="方正书宋_GBK" w:eastAsia="方正书宋_GBK"/>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七、基层政权和社区建设</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85.00</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组织指导农村集体自治组织民主选举、民主决策、民主管理和民主监督，村务政务公开工作，基层干部培训工作，指导城乡社区建设及服务管理工作。</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完成农村集体自治组织民主选举、民主决策、民主管理和民主监督，村务政务公开工作，基层干部培训工作，指导城乡社区建设及服务管理工作。</w:t>
            </w:r>
          </w:p>
        </w:tc>
        <w:tc>
          <w:tcPr>
            <w:tcW w:w="1417" w:type="dxa"/>
            <w:shd w:val="clear" w:color="auto" w:fill="auto"/>
            <w:noWrap w:val="0"/>
            <w:vAlign w:val="center"/>
          </w:tcPr>
          <w:p>
            <w:pPr>
              <w:spacing w:line="300" w:lineRule="exact"/>
              <w:jc w:val="left"/>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、基层政权和社区建设</w:t>
            </w:r>
          </w:p>
        </w:tc>
        <w:tc>
          <w:tcPr>
            <w:tcW w:w="1276" w:type="dxa"/>
            <w:vMerge w:val="restart"/>
            <w:shd w:val="clear" w:color="auto" w:fill="auto"/>
            <w:noWrap w:val="0"/>
            <w:vAlign w:val="center"/>
          </w:tcPr>
          <w:p>
            <w:pPr>
              <w:spacing w:line="300" w:lineRule="exact"/>
              <w:jc w:val="left"/>
              <w:rPr>
                <w:rFonts w:ascii="方正书宋_GBK" w:eastAsia="方正书宋_GBK"/>
              </w:rPr>
            </w:pPr>
            <w:r>
              <w:rPr>
                <w:rFonts w:ascii="方正书宋_GBK" w:eastAsia="方正书宋_GBK"/>
              </w:rPr>
              <w:t>85.00</w:t>
            </w: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组织指导农村集体自治组织民主选举、民主决策、民主管理和民主监督，村务政务公开工作，基层干部培训工作，指导城乡社区建设及服务管理工作。</w:t>
            </w: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提高村务政务公开率</w:t>
            </w: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完成两委换届，任职干部职数达到法定职数</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两委换届完成，人数达标</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两委换届完成，人数不达标</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两委换届完成其中之一。</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没有完成</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公开率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八、政法综治稳定和公共安全</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30.50</w:t>
            </w:r>
          </w:p>
        </w:tc>
        <w:tc>
          <w:tcPr>
            <w:tcW w:w="29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1</w:t>
            </w:r>
            <w:r>
              <w:rPr>
                <w:rFonts w:hint="eastAsia" w:ascii="方正书宋_GBK" w:eastAsia="方正书宋_GBK"/>
              </w:rPr>
              <w:t>、贯彻实施国家安全战略，推进国家安全法制建设，贯彻落实国家安全工作方针，研究解决涉及国家安全工作的重大问题；</w:t>
            </w:r>
          </w:p>
          <w:p>
            <w:pPr>
              <w:spacing w:line="300" w:lineRule="exact"/>
              <w:jc w:val="left"/>
              <w:rPr>
                <w:rFonts w:ascii="方正书宋_GBK" w:eastAsia="方正书宋_GBK"/>
              </w:rPr>
            </w:pPr>
            <w:r>
              <w:rPr>
                <w:rFonts w:ascii="方正书宋_GBK" w:eastAsia="方正书宋_GBK"/>
              </w:rPr>
              <w:t>2</w:t>
            </w:r>
            <w:r>
              <w:rPr>
                <w:rFonts w:hint="eastAsia" w:ascii="方正书宋_GBK" w:eastAsia="方正书宋_GBK"/>
              </w:rPr>
              <w:t>、推进社会治安综合治理，维护社会稳定，有效地维护本乡镇的可持续稳定，同时抓好全民普法工作，推进依法治理；</w:t>
            </w:r>
          </w:p>
          <w:p>
            <w:pPr>
              <w:spacing w:line="300" w:lineRule="exact"/>
              <w:jc w:val="left"/>
              <w:rPr>
                <w:rFonts w:ascii="方正书宋_GBK" w:eastAsia="方正书宋_GBK"/>
              </w:rPr>
            </w:pPr>
            <w:r>
              <w:rPr>
                <w:rFonts w:ascii="方正书宋_GBK" w:eastAsia="方正书宋_GBK"/>
              </w:rPr>
              <w:t>3</w:t>
            </w:r>
            <w:r>
              <w:rPr>
                <w:rFonts w:hint="eastAsia" w:ascii="方正书宋_GBK" w:eastAsia="方正书宋_GBK"/>
              </w:rPr>
              <w:t>、加强政法队伍建设和领导班子建设；</w:t>
            </w:r>
          </w:p>
          <w:p>
            <w:pPr>
              <w:spacing w:line="300" w:lineRule="exact"/>
              <w:jc w:val="left"/>
              <w:rPr>
                <w:rFonts w:ascii="方正书宋_GBK" w:eastAsia="方正书宋_GBK"/>
              </w:rPr>
            </w:pPr>
            <w:r>
              <w:rPr>
                <w:rFonts w:ascii="方正书宋_GBK" w:eastAsia="方正书宋_GBK"/>
              </w:rPr>
              <w:t>4</w:t>
            </w:r>
            <w:r>
              <w:rPr>
                <w:rFonts w:hint="eastAsia" w:ascii="方正书宋_GBK" w:eastAsia="方正书宋_GBK"/>
              </w:rPr>
              <w:t>、受理并查处涉法涉诉信访案件工作，促进司法公正；</w:t>
            </w:r>
          </w:p>
          <w:p>
            <w:pPr>
              <w:spacing w:line="300" w:lineRule="exact"/>
              <w:jc w:val="left"/>
              <w:rPr>
                <w:rFonts w:ascii="方正书宋_GBK" w:eastAsia="方正书宋_GBK"/>
              </w:rPr>
            </w:pPr>
            <w:r>
              <w:rPr>
                <w:rFonts w:ascii="方正书宋_GBK" w:eastAsia="方正书宋_GBK"/>
              </w:rPr>
              <w:t>5</w:t>
            </w:r>
            <w:r>
              <w:rPr>
                <w:rFonts w:hint="eastAsia" w:ascii="方正书宋_GBK" w:eastAsia="方正书宋_GBK"/>
              </w:rPr>
              <w:t>、坚持社会治安综合治理属地管理原则，抓好目标管理责任制、领导责任制、责任追究和一票否决权等制度的落实，抓好中小学校的社会治安综合治理和所辖乡镇铁路治安联防护路工作；</w:t>
            </w:r>
          </w:p>
          <w:p>
            <w:pPr>
              <w:spacing w:line="300" w:lineRule="exact"/>
              <w:jc w:val="left"/>
              <w:rPr>
                <w:rFonts w:hint="eastAsia" w:ascii="方正书宋_GBK" w:eastAsia="方正书宋_GBK"/>
              </w:rPr>
            </w:pPr>
            <w:r>
              <w:rPr>
                <w:rFonts w:ascii="方正书宋_GBK" w:eastAsia="方正书宋_GBK"/>
              </w:rPr>
              <w:t>6</w:t>
            </w:r>
            <w:r>
              <w:rPr>
                <w:rFonts w:hint="eastAsia" w:ascii="方正书宋_GBK" w:eastAsia="方正书宋_GBK"/>
              </w:rPr>
              <w:t>、依法打击并取缔各种非法宗教活动。</w:t>
            </w:r>
          </w:p>
        </w:tc>
        <w:tc>
          <w:tcPr>
            <w:tcW w:w="29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1</w:t>
            </w:r>
            <w:r>
              <w:rPr>
                <w:rFonts w:hint="eastAsia" w:ascii="方正书宋_GBK" w:eastAsia="方正书宋_GBK"/>
              </w:rPr>
              <w:t>、贯彻实施国家安全战略，推进国家安全法制建设，贯彻落实国家安全工作方针，研究解决涉及国家安全工作的重大问题；</w:t>
            </w:r>
          </w:p>
          <w:p>
            <w:pPr>
              <w:spacing w:line="300" w:lineRule="exact"/>
              <w:jc w:val="left"/>
              <w:rPr>
                <w:rFonts w:ascii="方正书宋_GBK" w:eastAsia="方正书宋_GBK"/>
              </w:rPr>
            </w:pPr>
            <w:r>
              <w:rPr>
                <w:rFonts w:ascii="方正书宋_GBK" w:eastAsia="方正书宋_GBK"/>
              </w:rPr>
              <w:t>2</w:t>
            </w:r>
            <w:r>
              <w:rPr>
                <w:rFonts w:hint="eastAsia" w:ascii="方正书宋_GBK" w:eastAsia="方正书宋_GBK"/>
              </w:rPr>
              <w:t>、推进社会治安综合治理，维护社会稳定，有效地维护本乡镇的可持续稳定，同时抓好全民普法工作，推进依法治理；</w:t>
            </w:r>
          </w:p>
          <w:p>
            <w:pPr>
              <w:spacing w:line="300" w:lineRule="exact"/>
              <w:jc w:val="left"/>
              <w:rPr>
                <w:rFonts w:ascii="方正书宋_GBK" w:eastAsia="方正书宋_GBK"/>
              </w:rPr>
            </w:pPr>
            <w:r>
              <w:rPr>
                <w:rFonts w:ascii="方正书宋_GBK" w:eastAsia="方正书宋_GBK"/>
              </w:rPr>
              <w:t>3</w:t>
            </w:r>
            <w:r>
              <w:rPr>
                <w:rFonts w:hint="eastAsia" w:ascii="方正书宋_GBK" w:eastAsia="方正书宋_GBK"/>
              </w:rPr>
              <w:t>、加强政法队伍建设和领导班子建设；</w:t>
            </w:r>
          </w:p>
          <w:p>
            <w:pPr>
              <w:spacing w:line="300" w:lineRule="exact"/>
              <w:jc w:val="left"/>
              <w:rPr>
                <w:rFonts w:ascii="方正书宋_GBK" w:eastAsia="方正书宋_GBK"/>
              </w:rPr>
            </w:pPr>
            <w:r>
              <w:rPr>
                <w:rFonts w:ascii="方正书宋_GBK" w:eastAsia="方正书宋_GBK"/>
              </w:rPr>
              <w:t>4</w:t>
            </w:r>
            <w:r>
              <w:rPr>
                <w:rFonts w:hint="eastAsia" w:ascii="方正书宋_GBK" w:eastAsia="方正书宋_GBK"/>
              </w:rPr>
              <w:t>、受理并查处涉法涉诉信访案件工作，促进司法公正；</w:t>
            </w:r>
          </w:p>
          <w:p>
            <w:pPr>
              <w:spacing w:line="300" w:lineRule="exact"/>
              <w:jc w:val="left"/>
              <w:rPr>
                <w:rFonts w:ascii="方正书宋_GBK" w:eastAsia="方正书宋_GBK"/>
              </w:rPr>
            </w:pPr>
            <w:r>
              <w:rPr>
                <w:rFonts w:ascii="方正书宋_GBK" w:eastAsia="方正书宋_GBK"/>
              </w:rPr>
              <w:t>5</w:t>
            </w:r>
            <w:r>
              <w:rPr>
                <w:rFonts w:hint="eastAsia" w:ascii="方正书宋_GBK" w:eastAsia="方正书宋_GBK"/>
              </w:rPr>
              <w:t>、坚持社会治安综合治理属地管理原则，抓好目标管理责任制、领导责任制、责任追究和一票否决权等制度的落实，抓好中小学校的社会治安综合治理和所辖乡镇铁路治安联防护路工作；</w:t>
            </w:r>
          </w:p>
          <w:p>
            <w:pPr>
              <w:spacing w:line="300" w:lineRule="exact"/>
              <w:jc w:val="left"/>
              <w:rPr>
                <w:rFonts w:hint="eastAsia" w:ascii="方正书宋_GBK" w:eastAsia="方正书宋_GBK"/>
              </w:rPr>
            </w:pPr>
            <w:r>
              <w:rPr>
                <w:rFonts w:ascii="方正书宋_GBK" w:eastAsia="方正书宋_GBK"/>
              </w:rPr>
              <w:t>6</w:t>
            </w:r>
            <w:r>
              <w:rPr>
                <w:rFonts w:hint="eastAsia" w:ascii="方正书宋_GBK" w:eastAsia="方正书宋_GBK"/>
              </w:rPr>
              <w:t>、依法打击并取缔各种非法宗教活动。</w:t>
            </w:r>
          </w:p>
        </w:tc>
        <w:tc>
          <w:tcPr>
            <w:tcW w:w="1417" w:type="dxa"/>
            <w:shd w:val="clear" w:color="auto" w:fill="auto"/>
            <w:noWrap w:val="0"/>
            <w:vAlign w:val="center"/>
          </w:tcPr>
          <w:p>
            <w:pPr>
              <w:spacing w:line="300" w:lineRule="exact"/>
              <w:jc w:val="left"/>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、信访稳定工作</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30.50</w:t>
            </w:r>
          </w:p>
        </w:tc>
        <w:tc>
          <w:tcPr>
            <w:tcW w:w="2976"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开展矛盾纠纷排查调处，及时掌握神情民意、动态信息，建立矛盾纠纷排查调处工作台账，与司法调解紧密衔接，协调处置各类突发性和群体性事件。</w:t>
            </w:r>
          </w:p>
        </w:tc>
        <w:tc>
          <w:tcPr>
            <w:tcW w:w="2976"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开展矛盾纠纷排查调处，及时掌握神情民意、动态信息，建立矛盾纠纷排查调处工作台账，与司法调解紧密衔接，协调处置各类突发性和群体性事件。</w:t>
            </w: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信访数量同比下降率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trHeight w:val="227" w:hRule="atLeast"/>
          <w:jc w:val="center"/>
        </w:trPr>
        <w:tc>
          <w:tcPr>
            <w:tcW w:w="2341" w:type="dxa"/>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、社会治安管理</w:t>
            </w:r>
          </w:p>
        </w:tc>
        <w:tc>
          <w:tcPr>
            <w:tcW w:w="1276" w:type="dxa"/>
            <w:shd w:val="clear" w:color="auto" w:fill="auto"/>
            <w:noWrap w:val="0"/>
            <w:vAlign w:val="center"/>
          </w:tcPr>
          <w:p>
            <w:pPr>
              <w:spacing w:line="300" w:lineRule="exact"/>
              <w:jc w:val="left"/>
              <w:rPr>
                <w:rFonts w:ascii="方正书宋_GBK" w:eastAsia="方正书宋_GBK"/>
              </w:rPr>
            </w:pP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维护辖区内公共安全和社会稳定，打击并取缔各种非法宗教活动；组织、指导、协调、参与重大突发事件处置和大型活动安保工作。</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维护辖区内公共安全和社会稳定，打击并取缔各种非法宗教活动。</w:t>
            </w: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群众安全感满意度</w:t>
            </w:r>
          </w:p>
        </w:tc>
        <w:tc>
          <w:tcPr>
            <w:tcW w:w="737" w:type="dxa"/>
            <w:shd w:val="clear" w:color="auto" w:fill="auto"/>
            <w:noWrap w:val="0"/>
            <w:vAlign w:val="center"/>
          </w:tcPr>
          <w:p>
            <w:pPr>
              <w:spacing w:line="300" w:lineRule="exact"/>
              <w:jc w:val="center"/>
              <w:rPr>
                <w:rFonts w:hint="eastAsia" w:ascii="方正书宋_GBK" w:eastAsia="方正书宋_GBK"/>
              </w:rPr>
            </w:pPr>
            <w:r>
              <w:rPr>
                <w:rFonts w:ascii="方正书宋_GBK" w:eastAsia="方正书宋_GBK"/>
              </w:rPr>
              <w:t>100%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九、安全生产综合监管</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5.00</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负责辖区企业安全生产综合监管，开展安全事故宣传教育活动，对企业安全隐患进行排查，遏制重特大事故发生。</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对重点行业和作业场所职业卫生、安全生产加强检查监督，防止安全事故发生。</w:t>
            </w:r>
          </w:p>
        </w:tc>
        <w:tc>
          <w:tcPr>
            <w:tcW w:w="1417" w:type="dxa"/>
            <w:shd w:val="clear" w:color="auto" w:fill="auto"/>
            <w:noWrap w:val="0"/>
            <w:vAlign w:val="center"/>
          </w:tcPr>
          <w:p>
            <w:pPr>
              <w:spacing w:line="300" w:lineRule="exact"/>
              <w:jc w:val="left"/>
              <w:rPr>
                <w:rFonts w:hint="eastAsia" w:ascii="方正书宋_GBK" w:eastAsia="方正书宋_GBK"/>
              </w:rPr>
            </w:pPr>
          </w:p>
        </w:tc>
        <w:tc>
          <w:tcPr>
            <w:tcW w:w="737" w:type="dxa"/>
            <w:shd w:val="clear" w:color="auto" w:fill="auto"/>
            <w:noWrap w:val="0"/>
            <w:vAlign w:val="center"/>
          </w:tcPr>
          <w:p>
            <w:pPr>
              <w:spacing w:line="300" w:lineRule="exact"/>
              <w:jc w:val="center"/>
              <w:rPr>
                <w:rFonts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、安全生产隐患排查</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5.00</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通过安全生产宣传教育，进行安全事故隐患排查，降低和消除各种安全隐患。</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通过安全生产宣传教育，进行安全事故隐患排查，降低和消除各种安全隐患。</w:t>
            </w: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隐患整改率</w:t>
            </w:r>
          </w:p>
        </w:tc>
        <w:tc>
          <w:tcPr>
            <w:tcW w:w="737"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十、义务教育</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114.60</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以农村教育为重点，推进义务教育均衡发展，建立中小学校舍安全保障机制，改善薄弱学校办学条件，促进公共教育资源向农村和经济欠发达地区倾斜。</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提高义务教育公用经费保障水平，改善办学条件，均衡配置基础教育资源，缩小城乡、区域、校际之间办学差距，落实学生资助政策，保障教师待遇。</w:t>
            </w:r>
          </w:p>
        </w:tc>
        <w:tc>
          <w:tcPr>
            <w:tcW w:w="1417" w:type="dxa"/>
            <w:shd w:val="clear" w:color="auto" w:fill="auto"/>
            <w:noWrap w:val="0"/>
            <w:vAlign w:val="center"/>
          </w:tcPr>
          <w:p>
            <w:pPr>
              <w:spacing w:line="300" w:lineRule="exact"/>
              <w:jc w:val="left"/>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、改善办学条件</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114.60</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提高义务教育公用经费保障水平，改善办学条件，均衡配置基础教育资源，缩小城乡、区域、校际之间办学差距，落实学生资助政策。</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提高义务教育公用经费保障水平，改善办学条件，均衡配置基础教育资源，缩小城乡、区域、校际之间办学差距，落实学生资助政策。</w:t>
            </w:r>
          </w:p>
        </w:tc>
        <w:tc>
          <w:tcPr>
            <w:tcW w:w="1417" w:type="dxa"/>
            <w:shd w:val="clear" w:color="auto" w:fill="auto"/>
            <w:noWrap w:val="0"/>
            <w:vAlign w:val="center"/>
          </w:tcPr>
          <w:p>
            <w:pPr>
              <w:spacing w:line="300" w:lineRule="exact"/>
              <w:jc w:val="left"/>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十一、节能环保</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234.08</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通过淘汰落后产能、提高企业清洁生产和污染物排放标准等措施，推进主要污染物减排，促进结构调整和加快转变经济发展方式。</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通过淘汰落后产能、提高企业清洁生产和污染物排放标准等措施，推进主要污染物减排，促进结构调整和加快转变经济发展方式。</w:t>
            </w:r>
          </w:p>
        </w:tc>
        <w:tc>
          <w:tcPr>
            <w:tcW w:w="1417" w:type="dxa"/>
            <w:shd w:val="clear" w:color="auto" w:fill="auto"/>
            <w:noWrap w:val="0"/>
            <w:vAlign w:val="center"/>
          </w:tcPr>
          <w:p>
            <w:pPr>
              <w:spacing w:line="300" w:lineRule="exact"/>
              <w:jc w:val="left"/>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PrEx>
        <w:trPr>
          <w:trHeight w:val="227" w:hRule="atLeast"/>
          <w:jc w:val="center"/>
        </w:trPr>
        <w:tc>
          <w:tcPr>
            <w:tcW w:w="2341" w:type="dxa"/>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、大气治理</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234.08</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通过淘汰落后产能、提高企业清洁生产和污染物排放标准等措施，推进主要污染物减排，促进结构调整和加快转变经济发展方式。</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实现主要污染物排放总量控制，完成上级下达的主要污染物减排任务、环境统计工作。</w:t>
            </w:r>
          </w:p>
        </w:tc>
        <w:tc>
          <w:tcPr>
            <w:tcW w:w="1417" w:type="dxa"/>
            <w:shd w:val="clear" w:color="auto" w:fill="auto"/>
            <w:noWrap w:val="0"/>
            <w:vAlign w:val="center"/>
          </w:tcPr>
          <w:p>
            <w:pPr>
              <w:spacing w:line="300" w:lineRule="exact"/>
              <w:jc w:val="left"/>
              <w:rPr>
                <w:rFonts w:hint="eastAsia" w:ascii="方正书宋_GBK" w:eastAsia="方正书宋_GBK"/>
              </w:rPr>
            </w:pPr>
            <w:r>
              <w:rPr>
                <w:rFonts w:ascii="方正书宋_GBK" w:eastAsia="方正书宋_GBK"/>
              </w:rPr>
              <w:t>1</w:t>
            </w:r>
            <w:r>
              <w:rPr>
                <w:rFonts w:hint="eastAsia" w:ascii="方正书宋_GBK" w:eastAsia="方正书宋_GBK"/>
              </w:rPr>
              <w:t>、污染源自动监控网络正常使用率</w:t>
            </w:r>
            <w:r>
              <w:rPr>
                <w:rFonts w:ascii="方正书宋_GBK" w:eastAsia="方正书宋_GBK"/>
              </w:rPr>
              <w:t>2</w:t>
            </w:r>
            <w:r>
              <w:rPr>
                <w:rFonts w:hint="eastAsia" w:ascii="方正书宋_GBK" w:eastAsia="方正书宋_GBK"/>
              </w:rPr>
              <w:t>、监督企业率</w:t>
            </w:r>
            <w:r>
              <w:rPr>
                <w:rFonts w:ascii="方正书宋_GBK" w:eastAsia="方正书宋_GBK"/>
              </w:rPr>
              <w:t>3</w:t>
            </w:r>
            <w:r>
              <w:rPr>
                <w:rFonts w:hint="eastAsia" w:ascii="方正书宋_GBK" w:eastAsia="方正书宋_GBK"/>
              </w:rPr>
              <w:t>、自动监控数据传输有效率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大于等于</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大于等于</w:t>
            </w:r>
            <w:r>
              <w:rPr>
                <w:rFonts w:ascii="方正书宋_GBK" w:eastAsia="方正书宋_GBK"/>
              </w:rPr>
              <w:t xml:space="preserve">85% </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大于等于</w:t>
            </w:r>
            <w:r>
              <w:rPr>
                <w:rFonts w:ascii="方正书宋_GBK" w:eastAsia="方正书宋_GBK"/>
              </w:rPr>
              <w:t>80%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小于</w:t>
            </w:r>
            <w:r>
              <w:rPr>
                <w:rFonts w:ascii="方正书宋_GBK" w:eastAsia="方正书宋_GBK"/>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十二、交通运输</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60.00</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在交通运输方面：对公共交通运输企业的补助，建设公交车停车场和停车场运行维护保养及其他方面。</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促进当地各方面发展，为当地及周边居民出行提供便利条件和优质服务。</w:t>
            </w:r>
          </w:p>
        </w:tc>
        <w:tc>
          <w:tcPr>
            <w:tcW w:w="1417" w:type="dxa"/>
            <w:shd w:val="clear" w:color="auto" w:fill="auto"/>
            <w:noWrap w:val="0"/>
            <w:vAlign w:val="center"/>
          </w:tcPr>
          <w:p>
            <w:pPr>
              <w:spacing w:line="300" w:lineRule="exact"/>
              <w:jc w:val="left"/>
              <w:rPr>
                <w:rFonts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、其他交通运输支出</w:t>
            </w:r>
          </w:p>
        </w:tc>
        <w:tc>
          <w:tcPr>
            <w:tcW w:w="1276" w:type="dxa"/>
            <w:vMerge w:val="restart"/>
            <w:shd w:val="clear" w:color="auto" w:fill="auto"/>
            <w:noWrap w:val="0"/>
            <w:vAlign w:val="center"/>
          </w:tcPr>
          <w:p>
            <w:pPr>
              <w:spacing w:line="300" w:lineRule="exact"/>
              <w:jc w:val="left"/>
              <w:rPr>
                <w:rFonts w:ascii="方正书宋_GBK" w:eastAsia="方正书宋_GBK"/>
              </w:rPr>
            </w:pPr>
            <w:r>
              <w:rPr>
                <w:rFonts w:ascii="方正书宋_GBK" w:eastAsia="方正书宋_GBK"/>
              </w:rPr>
              <w:t>60.00</w:t>
            </w: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为解决山尹村镇居民及周边乘客出行，设立公交车辆停车场，按规定配置公交营运车辆保证公交正常运营，保证车场内安全管理和整洁卫生，为居民出行提供安全、方便、快捷、舒适的乘车服务。</w:t>
            </w: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客运管理业务顺利开展，按时完成工作</w:t>
            </w:r>
          </w:p>
        </w:tc>
        <w:tc>
          <w:tcPr>
            <w:tcW w:w="1417"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社会公众或服务对象对项目实施效果的满意程度</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c>
          <w:tcPr>
            <w:tcW w:w="737" w:type="dxa"/>
            <w:shd w:val="clear" w:color="auto" w:fill="auto"/>
            <w:noWrap w:val="0"/>
            <w:vAlign w:val="center"/>
          </w:tcPr>
          <w:p>
            <w:pPr>
              <w:spacing w:line="300" w:lineRule="exact"/>
              <w:jc w:val="center"/>
              <w:rPr>
                <w:rFonts w:hint="eastAsia" w:ascii="方正书宋_GBK" w:eastAsia="方正书宋_GBK"/>
              </w:rPr>
            </w:pPr>
            <w:r>
              <w:rPr>
                <w:rFonts w:ascii="方正书宋_GBK" w:eastAsia="方正书宋_GBK"/>
              </w:rPr>
              <w:t>&lt;60%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乘客投诉处理时限</w:t>
            </w:r>
            <w:r>
              <w:rPr>
                <w:rFonts w:ascii="方正书宋_GBK" w:eastAsia="方正书宋_GBK"/>
              </w:rPr>
              <w:t>(</w:t>
            </w:r>
            <w:r>
              <w:rPr>
                <w:rFonts w:hint="eastAsia" w:ascii="方正书宋_GBK" w:eastAsia="方正书宋_GBK"/>
              </w:rPr>
              <w:t>天）</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w:t>
            </w:r>
          </w:p>
        </w:tc>
        <w:tc>
          <w:tcPr>
            <w:tcW w:w="737"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10</w:t>
            </w:r>
          </w:p>
        </w:tc>
      </w:tr>
    </w:tbl>
    <w:p>
      <w:pPr>
        <w:spacing w:line="300" w:lineRule="exact"/>
        <w:jc w:val="left"/>
        <w:outlineLvl w:val="0"/>
        <w:sectPr>
          <w:footerReference r:id="rId4" w:type="default"/>
          <w:pgSz w:w="16839" w:h="11907" w:orient="landscape"/>
          <w:pgMar w:top="1020" w:right="1361" w:bottom="1020" w:left="1361" w:header="851" w:footer="992" w:gutter="0"/>
          <w:cols w:space="425" w:num="1"/>
          <w:docGrid w:type="lines" w:linePitch="312" w:charSpace="0"/>
        </w:sectPr>
      </w:pPr>
    </w:p>
    <w:p>
      <w:pPr>
        <w:autoSpaceDE w:val="0"/>
        <w:autoSpaceDN w:val="0"/>
        <w:adjustRightInd w:val="0"/>
        <w:jc w:val="left"/>
        <w:rPr>
          <w:rFonts w:ascii="黑体" w:hAnsi="黑体" w:eastAsia="黑体" w:cs="Times New Roman"/>
          <w:sz w:val="32"/>
          <w:szCs w:val="32"/>
        </w:rPr>
      </w:pPr>
      <w:r>
        <w:rPr>
          <w:rFonts w:hint="eastAsia" w:ascii="黑体" w:hAnsi="黑体" w:eastAsia="黑体" w:cs="Times New Roman"/>
          <w:sz w:val="32"/>
          <w:szCs w:val="32"/>
        </w:rPr>
        <w:t>六、政府采购预算情况</w:t>
      </w:r>
    </w:p>
    <w:p>
      <w:pPr>
        <w:outlineLvl w:val="0"/>
        <w:rPr>
          <w:rFonts w:hint="eastAsia" w:ascii="仿宋" w:hAnsi="仿宋" w:eastAsia="仿宋" w:cs="仿宋"/>
          <w:sz w:val="32"/>
          <w:szCs w:val="32"/>
        </w:rPr>
      </w:pPr>
      <w:bookmarkStart w:id="2" w:name="_Toc471398468"/>
      <w:r>
        <w:rPr>
          <w:rFonts w:ascii="Times New Roman" w:hAnsi="Times New Roman" w:eastAsia="方正仿宋_GBK" w:cs="Times New Roman"/>
          <w:sz w:val="32"/>
          <w:szCs w:val="24"/>
        </w:rPr>
        <w:t xml:space="preserve">   </w:t>
      </w:r>
    </w:p>
    <w:tbl>
      <w:tblPr>
        <w:tblStyle w:val="8"/>
        <w:tblW w:w="13868" w:type="dxa"/>
        <w:tblInd w:w="0" w:type="dxa"/>
        <w:tblLayout w:type="fixed"/>
        <w:tblCellMar>
          <w:top w:w="15" w:type="dxa"/>
          <w:left w:w="15" w:type="dxa"/>
          <w:bottom w:w="15" w:type="dxa"/>
          <w:right w:w="15" w:type="dxa"/>
        </w:tblCellMar>
      </w:tblPr>
      <w:tblGrid>
        <w:gridCol w:w="1282"/>
        <w:gridCol w:w="1279"/>
        <w:gridCol w:w="1057"/>
        <w:gridCol w:w="1071"/>
        <w:gridCol w:w="736"/>
        <w:gridCol w:w="530"/>
        <w:gridCol w:w="665"/>
        <w:gridCol w:w="879"/>
        <w:gridCol w:w="1069"/>
        <w:gridCol w:w="1060"/>
        <w:gridCol w:w="1069"/>
        <w:gridCol w:w="1057"/>
        <w:gridCol w:w="1057"/>
        <w:gridCol w:w="1057"/>
      </w:tblGrid>
      <w:tr>
        <w:tblPrEx>
          <w:tblLayout w:type="fixed"/>
          <w:tblCellMar>
            <w:top w:w="15" w:type="dxa"/>
            <w:left w:w="15" w:type="dxa"/>
            <w:bottom w:w="15" w:type="dxa"/>
            <w:right w:w="15" w:type="dxa"/>
          </w:tblCellMar>
        </w:tblPrEx>
        <w:trPr>
          <w:trHeight w:val="285" w:hRule="atLeast"/>
        </w:trPr>
        <w:tc>
          <w:tcPr>
            <w:tcW w:w="256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方正书宋_GBK"/>
                <w:b/>
                <w:color w:val="000000"/>
                <w:szCs w:val="21"/>
              </w:rPr>
            </w:pPr>
            <w:r>
              <w:rPr>
                <w:rFonts w:hint="eastAsia" w:ascii="仿宋" w:hAnsi="仿宋" w:eastAsia="仿宋" w:cs="方正书宋_GBK"/>
                <w:b/>
                <w:color w:val="000000"/>
                <w:kern w:val="0"/>
                <w:szCs w:val="21"/>
              </w:rPr>
              <w:t>政府采购项目来源</w:t>
            </w:r>
          </w:p>
        </w:tc>
        <w:tc>
          <w:tcPr>
            <w:tcW w:w="1057" w:type="dxa"/>
            <w:vMerge w:val="restart"/>
            <w:tcBorders>
              <w:top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方正书宋_GBK"/>
                <w:b/>
                <w:color w:val="000000"/>
                <w:szCs w:val="21"/>
              </w:rPr>
            </w:pPr>
            <w:r>
              <w:rPr>
                <w:rFonts w:hint="eastAsia" w:ascii="仿宋" w:hAnsi="仿宋" w:eastAsia="仿宋" w:cs="方正书宋_GBK"/>
                <w:b/>
                <w:color w:val="000000"/>
                <w:kern w:val="0"/>
                <w:szCs w:val="21"/>
              </w:rPr>
              <w:t>采购物品名称</w:t>
            </w:r>
          </w:p>
        </w:tc>
        <w:tc>
          <w:tcPr>
            <w:tcW w:w="1071" w:type="dxa"/>
            <w:vMerge w:val="restart"/>
            <w:tcBorders>
              <w:top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方正书宋_GBK"/>
                <w:b/>
                <w:color w:val="000000"/>
                <w:szCs w:val="21"/>
              </w:rPr>
            </w:pPr>
            <w:r>
              <w:rPr>
                <w:rFonts w:hint="eastAsia" w:ascii="仿宋" w:hAnsi="仿宋" w:eastAsia="仿宋" w:cs="方正书宋_GBK"/>
                <w:b/>
                <w:color w:val="000000"/>
                <w:kern w:val="0"/>
                <w:szCs w:val="21"/>
              </w:rPr>
              <w:t>政府采购目录序号</w:t>
            </w:r>
          </w:p>
        </w:tc>
        <w:tc>
          <w:tcPr>
            <w:tcW w:w="736" w:type="dxa"/>
            <w:vMerge w:val="restart"/>
            <w:tcBorders>
              <w:top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方正书宋_GBK"/>
                <w:b/>
                <w:color w:val="000000"/>
                <w:szCs w:val="21"/>
              </w:rPr>
            </w:pPr>
            <w:r>
              <w:rPr>
                <w:rFonts w:hint="eastAsia" w:ascii="仿宋" w:hAnsi="仿宋" w:eastAsia="仿宋" w:cs="方正书宋_GBK"/>
                <w:b/>
                <w:color w:val="000000"/>
                <w:kern w:val="0"/>
                <w:szCs w:val="21"/>
              </w:rPr>
              <w:t>数量</w:t>
            </w:r>
            <w:r>
              <w:rPr>
                <w:rFonts w:ascii="仿宋" w:hAnsi="仿宋" w:eastAsia="仿宋" w:cs="方正书宋_GBK"/>
                <w:b/>
                <w:color w:val="000000"/>
                <w:kern w:val="0"/>
                <w:szCs w:val="21"/>
              </w:rPr>
              <w:t xml:space="preserve">  </w:t>
            </w:r>
            <w:r>
              <w:rPr>
                <w:rFonts w:hint="eastAsia" w:ascii="仿宋" w:hAnsi="仿宋" w:eastAsia="仿宋" w:cs="方正书宋_GBK"/>
                <w:b/>
                <w:color w:val="000000"/>
                <w:kern w:val="0"/>
                <w:szCs w:val="21"/>
              </w:rPr>
              <w:t>单位</w:t>
            </w:r>
          </w:p>
        </w:tc>
        <w:tc>
          <w:tcPr>
            <w:tcW w:w="530" w:type="dxa"/>
            <w:vMerge w:val="restart"/>
            <w:tcBorders>
              <w:top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方正书宋_GBK"/>
                <w:b/>
                <w:color w:val="000000"/>
                <w:szCs w:val="21"/>
              </w:rPr>
            </w:pPr>
            <w:r>
              <w:rPr>
                <w:rFonts w:hint="eastAsia" w:ascii="仿宋" w:hAnsi="仿宋" w:eastAsia="仿宋" w:cs="方正书宋_GBK"/>
                <w:b/>
                <w:color w:val="000000"/>
                <w:kern w:val="0"/>
                <w:szCs w:val="21"/>
              </w:rPr>
              <w:t>数量</w:t>
            </w:r>
          </w:p>
        </w:tc>
        <w:tc>
          <w:tcPr>
            <w:tcW w:w="665" w:type="dxa"/>
            <w:vMerge w:val="restart"/>
            <w:tcBorders>
              <w:top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方正书宋_GBK"/>
                <w:b/>
                <w:color w:val="000000"/>
                <w:szCs w:val="21"/>
              </w:rPr>
            </w:pPr>
            <w:r>
              <w:rPr>
                <w:rFonts w:hint="eastAsia" w:ascii="仿宋" w:hAnsi="仿宋" w:eastAsia="仿宋" w:cs="方正书宋_GBK"/>
                <w:b/>
                <w:color w:val="000000"/>
                <w:kern w:val="0"/>
                <w:szCs w:val="21"/>
              </w:rPr>
              <w:t>单价</w:t>
            </w:r>
          </w:p>
        </w:tc>
        <w:tc>
          <w:tcPr>
            <w:tcW w:w="7248" w:type="dxa"/>
            <w:gridSpan w:val="7"/>
            <w:tcBorders>
              <w:top w:val="single" w:color="000000" w:sz="4" w:space="0"/>
              <w:right w:val="single" w:color="000000" w:sz="4" w:space="0"/>
            </w:tcBorders>
            <w:vAlign w:val="center"/>
          </w:tcPr>
          <w:p>
            <w:pPr>
              <w:widowControl/>
              <w:jc w:val="center"/>
              <w:textAlignment w:val="center"/>
              <w:rPr>
                <w:rFonts w:ascii="仿宋" w:hAnsi="仿宋" w:eastAsia="仿宋" w:cs="方正书宋_GBK"/>
                <w:b/>
                <w:color w:val="000000"/>
                <w:szCs w:val="21"/>
              </w:rPr>
            </w:pPr>
            <w:r>
              <w:rPr>
                <w:rFonts w:hint="eastAsia" w:ascii="仿宋" w:hAnsi="仿宋" w:eastAsia="仿宋" w:cs="方正书宋_GBK"/>
                <w:b/>
                <w:color w:val="000000"/>
                <w:kern w:val="0"/>
                <w:szCs w:val="21"/>
              </w:rPr>
              <w:t>政府采购金额</w:t>
            </w:r>
          </w:p>
        </w:tc>
      </w:tr>
      <w:tr>
        <w:tblPrEx>
          <w:tblLayout w:type="fixed"/>
          <w:tblCellMar>
            <w:top w:w="15" w:type="dxa"/>
            <w:left w:w="15" w:type="dxa"/>
            <w:bottom w:w="15" w:type="dxa"/>
            <w:right w:w="15" w:type="dxa"/>
          </w:tblCellMar>
        </w:tblPrEx>
        <w:trPr>
          <w:trHeight w:val="285" w:hRule="atLeast"/>
        </w:trPr>
        <w:tc>
          <w:tcPr>
            <w:tcW w:w="1282" w:type="dxa"/>
            <w:vMerge w:val="restart"/>
            <w:tcBorders>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方正书宋_GBK"/>
                <w:b/>
                <w:color w:val="000000"/>
                <w:szCs w:val="21"/>
              </w:rPr>
            </w:pPr>
            <w:r>
              <w:rPr>
                <w:rFonts w:hint="eastAsia" w:ascii="仿宋" w:hAnsi="仿宋" w:eastAsia="仿宋" w:cs="方正书宋_GBK"/>
                <w:b/>
                <w:color w:val="000000"/>
                <w:kern w:val="0"/>
                <w:szCs w:val="21"/>
              </w:rPr>
              <w:t>项目名称</w:t>
            </w:r>
          </w:p>
        </w:tc>
        <w:tc>
          <w:tcPr>
            <w:tcW w:w="1279" w:type="dxa"/>
            <w:vMerge w:val="restart"/>
            <w:tcBorders>
              <w:bottom w:val="single" w:color="000000" w:sz="4" w:space="0"/>
              <w:right w:val="single" w:color="000000" w:sz="4" w:space="0"/>
            </w:tcBorders>
            <w:vAlign w:val="center"/>
          </w:tcPr>
          <w:p>
            <w:pPr>
              <w:widowControl/>
              <w:jc w:val="center"/>
              <w:textAlignment w:val="center"/>
              <w:rPr>
                <w:rFonts w:ascii="仿宋" w:hAnsi="仿宋" w:eastAsia="仿宋" w:cs="方正书宋_GBK"/>
                <w:b/>
                <w:color w:val="000000"/>
                <w:szCs w:val="21"/>
              </w:rPr>
            </w:pPr>
            <w:r>
              <w:rPr>
                <w:rFonts w:hint="eastAsia" w:ascii="仿宋" w:hAnsi="仿宋" w:eastAsia="仿宋" w:cs="方正书宋_GBK"/>
                <w:b/>
                <w:color w:val="000000"/>
                <w:kern w:val="0"/>
                <w:szCs w:val="21"/>
              </w:rPr>
              <w:t>预算资金</w:t>
            </w:r>
          </w:p>
        </w:tc>
        <w:tc>
          <w:tcPr>
            <w:tcW w:w="1057" w:type="dxa"/>
            <w:vMerge w:val="continue"/>
            <w:tcBorders>
              <w:top w:val="single" w:color="000000" w:sz="4" w:space="0"/>
              <w:bottom w:val="single" w:color="000000" w:sz="4" w:space="0"/>
              <w:right w:val="single" w:color="000000" w:sz="4" w:space="0"/>
            </w:tcBorders>
            <w:vAlign w:val="center"/>
          </w:tcPr>
          <w:p>
            <w:pPr>
              <w:jc w:val="center"/>
              <w:rPr>
                <w:rFonts w:ascii="仿宋" w:hAnsi="仿宋" w:eastAsia="仿宋" w:cs="方正书宋_GBK"/>
                <w:b/>
                <w:color w:val="000000"/>
                <w:szCs w:val="21"/>
              </w:rPr>
            </w:pPr>
          </w:p>
        </w:tc>
        <w:tc>
          <w:tcPr>
            <w:tcW w:w="1071" w:type="dxa"/>
            <w:vMerge w:val="continue"/>
            <w:tcBorders>
              <w:top w:val="single" w:color="000000" w:sz="4" w:space="0"/>
              <w:bottom w:val="single" w:color="000000" w:sz="4" w:space="0"/>
              <w:right w:val="single" w:color="000000" w:sz="4" w:space="0"/>
            </w:tcBorders>
            <w:vAlign w:val="center"/>
          </w:tcPr>
          <w:p>
            <w:pPr>
              <w:jc w:val="center"/>
              <w:rPr>
                <w:rFonts w:ascii="仿宋" w:hAnsi="仿宋" w:eastAsia="仿宋" w:cs="方正书宋_GBK"/>
                <w:b/>
                <w:color w:val="000000"/>
                <w:szCs w:val="21"/>
              </w:rPr>
            </w:pPr>
          </w:p>
        </w:tc>
        <w:tc>
          <w:tcPr>
            <w:tcW w:w="736" w:type="dxa"/>
            <w:vMerge w:val="continue"/>
            <w:tcBorders>
              <w:top w:val="single" w:color="000000" w:sz="4" w:space="0"/>
              <w:bottom w:val="single" w:color="000000" w:sz="4" w:space="0"/>
              <w:right w:val="single" w:color="000000" w:sz="4" w:space="0"/>
            </w:tcBorders>
            <w:vAlign w:val="center"/>
          </w:tcPr>
          <w:p>
            <w:pPr>
              <w:jc w:val="center"/>
              <w:rPr>
                <w:rFonts w:ascii="仿宋" w:hAnsi="仿宋" w:eastAsia="仿宋" w:cs="方正书宋_GBK"/>
                <w:b/>
                <w:color w:val="000000"/>
                <w:szCs w:val="21"/>
              </w:rPr>
            </w:pPr>
          </w:p>
        </w:tc>
        <w:tc>
          <w:tcPr>
            <w:tcW w:w="530" w:type="dxa"/>
            <w:vMerge w:val="continue"/>
            <w:tcBorders>
              <w:top w:val="single" w:color="000000" w:sz="4" w:space="0"/>
              <w:bottom w:val="single" w:color="000000" w:sz="4" w:space="0"/>
              <w:right w:val="single" w:color="000000" w:sz="4" w:space="0"/>
            </w:tcBorders>
            <w:vAlign w:val="center"/>
          </w:tcPr>
          <w:p>
            <w:pPr>
              <w:jc w:val="center"/>
              <w:rPr>
                <w:rFonts w:ascii="仿宋" w:hAnsi="仿宋" w:eastAsia="仿宋" w:cs="方正书宋_GBK"/>
                <w:b/>
                <w:color w:val="000000"/>
                <w:szCs w:val="21"/>
              </w:rPr>
            </w:pPr>
          </w:p>
        </w:tc>
        <w:tc>
          <w:tcPr>
            <w:tcW w:w="665" w:type="dxa"/>
            <w:vMerge w:val="continue"/>
            <w:tcBorders>
              <w:top w:val="single" w:color="000000" w:sz="4" w:space="0"/>
              <w:bottom w:val="single" w:color="000000" w:sz="4" w:space="0"/>
              <w:right w:val="single" w:color="000000" w:sz="4" w:space="0"/>
            </w:tcBorders>
            <w:vAlign w:val="center"/>
          </w:tcPr>
          <w:p>
            <w:pPr>
              <w:jc w:val="center"/>
              <w:rPr>
                <w:rFonts w:ascii="仿宋" w:hAnsi="仿宋" w:eastAsia="仿宋" w:cs="方正书宋_GBK"/>
                <w:b/>
                <w:color w:val="000000"/>
                <w:szCs w:val="21"/>
              </w:rPr>
            </w:pPr>
          </w:p>
        </w:tc>
        <w:tc>
          <w:tcPr>
            <w:tcW w:w="879" w:type="dxa"/>
            <w:vMerge w:val="restart"/>
            <w:tcBorders>
              <w:top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方正书宋_GBK"/>
                <w:b/>
                <w:color w:val="000000"/>
                <w:szCs w:val="21"/>
              </w:rPr>
            </w:pPr>
            <w:r>
              <w:rPr>
                <w:rFonts w:hint="eastAsia" w:ascii="仿宋" w:hAnsi="仿宋" w:eastAsia="仿宋" w:cs="方正书宋_GBK"/>
                <w:b/>
                <w:color w:val="000000"/>
                <w:kern w:val="0"/>
                <w:szCs w:val="21"/>
              </w:rPr>
              <w:t>总计</w:t>
            </w:r>
          </w:p>
        </w:tc>
        <w:tc>
          <w:tcPr>
            <w:tcW w:w="5312" w:type="dxa"/>
            <w:gridSpan w:val="5"/>
            <w:tcBorders>
              <w:top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方正书宋_GBK"/>
                <w:b/>
                <w:color w:val="000000"/>
                <w:szCs w:val="21"/>
              </w:rPr>
            </w:pPr>
            <w:r>
              <w:rPr>
                <w:rFonts w:hint="eastAsia" w:ascii="仿宋" w:hAnsi="仿宋" w:eastAsia="仿宋" w:cs="方正书宋_GBK"/>
                <w:b/>
                <w:color w:val="000000"/>
                <w:kern w:val="0"/>
                <w:szCs w:val="21"/>
              </w:rPr>
              <w:t>当年部门预算安排资金</w:t>
            </w:r>
          </w:p>
        </w:tc>
        <w:tc>
          <w:tcPr>
            <w:tcW w:w="1057" w:type="dxa"/>
            <w:vMerge w:val="restart"/>
            <w:tcBorders>
              <w:top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方正书宋_GBK"/>
                <w:b/>
                <w:color w:val="000000"/>
                <w:szCs w:val="21"/>
              </w:rPr>
            </w:pPr>
            <w:r>
              <w:rPr>
                <w:rFonts w:hint="eastAsia" w:ascii="仿宋" w:hAnsi="仿宋" w:eastAsia="仿宋" w:cs="方正书宋_GBK"/>
                <w:b/>
                <w:color w:val="000000"/>
                <w:kern w:val="0"/>
                <w:szCs w:val="21"/>
              </w:rPr>
              <w:t>其他渠道资金</w:t>
            </w:r>
          </w:p>
        </w:tc>
      </w:tr>
      <w:tr>
        <w:tblPrEx>
          <w:tblLayout w:type="fixed"/>
          <w:tblCellMar>
            <w:top w:w="15" w:type="dxa"/>
            <w:left w:w="15" w:type="dxa"/>
            <w:bottom w:w="15" w:type="dxa"/>
            <w:right w:w="15" w:type="dxa"/>
          </w:tblCellMar>
        </w:tblPrEx>
        <w:trPr>
          <w:trHeight w:val="510" w:hRule="atLeast"/>
        </w:trPr>
        <w:tc>
          <w:tcPr>
            <w:tcW w:w="1282" w:type="dxa"/>
            <w:vMerge w:val="continue"/>
            <w:tcBorders>
              <w:left w:val="single" w:color="000000" w:sz="4" w:space="0"/>
              <w:bottom w:val="single" w:color="000000" w:sz="4" w:space="0"/>
              <w:right w:val="single" w:color="000000" w:sz="4" w:space="0"/>
            </w:tcBorders>
            <w:vAlign w:val="center"/>
          </w:tcPr>
          <w:p>
            <w:pPr>
              <w:jc w:val="center"/>
              <w:rPr>
                <w:rFonts w:ascii="仿宋" w:hAnsi="仿宋" w:eastAsia="仿宋" w:cs="方正书宋_GBK"/>
                <w:b/>
                <w:color w:val="000000"/>
                <w:szCs w:val="21"/>
              </w:rPr>
            </w:pPr>
          </w:p>
        </w:tc>
        <w:tc>
          <w:tcPr>
            <w:tcW w:w="1279" w:type="dxa"/>
            <w:vMerge w:val="continue"/>
            <w:tcBorders>
              <w:bottom w:val="single" w:color="000000" w:sz="4" w:space="0"/>
              <w:right w:val="single" w:color="000000" w:sz="4" w:space="0"/>
            </w:tcBorders>
            <w:vAlign w:val="center"/>
          </w:tcPr>
          <w:p>
            <w:pPr>
              <w:jc w:val="center"/>
              <w:rPr>
                <w:rFonts w:ascii="仿宋" w:hAnsi="仿宋" w:eastAsia="仿宋" w:cs="方正书宋_GBK"/>
                <w:b/>
                <w:color w:val="000000"/>
                <w:szCs w:val="21"/>
              </w:rPr>
            </w:pPr>
          </w:p>
        </w:tc>
        <w:tc>
          <w:tcPr>
            <w:tcW w:w="1057" w:type="dxa"/>
            <w:vMerge w:val="continue"/>
            <w:tcBorders>
              <w:top w:val="single" w:color="000000" w:sz="4" w:space="0"/>
              <w:bottom w:val="single" w:color="000000" w:sz="4" w:space="0"/>
              <w:right w:val="single" w:color="000000" w:sz="4" w:space="0"/>
            </w:tcBorders>
            <w:vAlign w:val="center"/>
          </w:tcPr>
          <w:p>
            <w:pPr>
              <w:jc w:val="center"/>
              <w:rPr>
                <w:rFonts w:ascii="仿宋" w:hAnsi="仿宋" w:eastAsia="仿宋" w:cs="方正书宋_GBK"/>
                <w:b/>
                <w:color w:val="000000"/>
                <w:szCs w:val="21"/>
              </w:rPr>
            </w:pPr>
          </w:p>
        </w:tc>
        <w:tc>
          <w:tcPr>
            <w:tcW w:w="1071" w:type="dxa"/>
            <w:vMerge w:val="continue"/>
            <w:tcBorders>
              <w:top w:val="single" w:color="000000" w:sz="4" w:space="0"/>
              <w:bottom w:val="single" w:color="000000" w:sz="4" w:space="0"/>
              <w:right w:val="single" w:color="000000" w:sz="4" w:space="0"/>
            </w:tcBorders>
            <w:vAlign w:val="center"/>
          </w:tcPr>
          <w:p>
            <w:pPr>
              <w:jc w:val="center"/>
              <w:rPr>
                <w:rFonts w:ascii="仿宋" w:hAnsi="仿宋" w:eastAsia="仿宋" w:cs="方正书宋_GBK"/>
                <w:b/>
                <w:color w:val="000000"/>
                <w:szCs w:val="21"/>
              </w:rPr>
            </w:pPr>
          </w:p>
        </w:tc>
        <w:tc>
          <w:tcPr>
            <w:tcW w:w="736" w:type="dxa"/>
            <w:vMerge w:val="continue"/>
            <w:tcBorders>
              <w:top w:val="single" w:color="000000" w:sz="4" w:space="0"/>
              <w:bottom w:val="single" w:color="000000" w:sz="4" w:space="0"/>
              <w:right w:val="single" w:color="000000" w:sz="4" w:space="0"/>
            </w:tcBorders>
            <w:vAlign w:val="center"/>
          </w:tcPr>
          <w:p>
            <w:pPr>
              <w:jc w:val="center"/>
              <w:rPr>
                <w:rFonts w:ascii="仿宋" w:hAnsi="仿宋" w:eastAsia="仿宋" w:cs="方正书宋_GBK"/>
                <w:b/>
                <w:color w:val="000000"/>
                <w:szCs w:val="21"/>
              </w:rPr>
            </w:pPr>
          </w:p>
        </w:tc>
        <w:tc>
          <w:tcPr>
            <w:tcW w:w="530" w:type="dxa"/>
            <w:vMerge w:val="continue"/>
            <w:tcBorders>
              <w:top w:val="single" w:color="000000" w:sz="4" w:space="0"/>
              <w:bottom w:val="single" w:color="000000" w:sz="4" w:space="0"/>
              <w:right w:val="single" w:color="000000" w:sz="4" w:space="0"/>
            </w:tcBorders>
            <w:vAlign w:val="center"/>
          </w:tcPr>
          <w:p>
            <w:pPr>
              <w:jc w:val="center"/>
              <w:rPr>
                <w:rFonts w:ascii="仿宋" w:hAnsi="仿宋" w:eastAsia="仿宋" w:cs="方正书宋_GBK"/>
                <w:b/>
                <w:color w:val="000000"/>
                <w:szCs w:val="21"/>
              </w:rPr>
            </w:pPr>
          </w:p>
        </w:tc>
        <w:tc>
          <w:tcPr>
            <w:tcW w:w="665" w:type="dxa"/>
            <w:vMerge w:val="continue"/>
            <w:tcBorders>
              <w:top w:val="single" w:color="000000" w:sz="4" w:space="0"/>
              <w:bottom w:val="single" w:color="000000" w:sz="4" w:space="0"/>
              <w:right w:val="single" w:color="000000" w:sz="4" w:space="0"/>
            </w:tcBorders>
            <w:vAlign w:val="center"/>
          </w:tcPr>
          <w:p>
            <w:pPr>
              <w:jc w:val="center"/>
              <w:rPr>
                <w:rFonts w:ascii="仿宋" w:hAnsi="仿宋" w:eastAsia="仿宋" w:cs="方正书宋_GBK"/>
                <w:b/>
                <w:color w:val="000000"/>
                <w:szCs w:val="21"/>
              </w:rPr>
            </w:pPr>
          </w:p>
        </w:tc>
        <w:tc>
          <w:tcPr>
            <w:tcW w:w="879" w:type="dxa"/>
            <w:vMerge w:val="continue"/>
            <w:tcBorders>
              <w:top w:val="single" w:color="000000" w:sz="4" w:space="0"/>
              <w:bottom w:val="single" w:color="000000" w:sz="4" w:space="0"/>
              <w:right w:val="single" w:color="000000" w:sz="4" w:space="0"/>
            </w:tcBorders>
            <w:vAlign w:val="center"/>
          </w:tcPr>
          <w:p>
            <w:pPr>
              <w:jc w:val="center"/>
              <w:rPr>
                <w:rFonts w:ascii="仿宋" w:hAnsi="仿宋" w:eastAsia="仿宋" w:cs="方正书宋_GBK"/>
                <w:b/>
                <w:color w:val="000000"/>
                <w:szCs w:val="21"/>
              </w:rPr>
            </w:pPr>
          </w:p>
        </w:tc>
        <w:tc>
          <w:tcPr>
            <w:tcW w:w="1069" w:type="dxa"/>
            <w:tcBorders>
              <w:bottom w:val="single" w:color="000000" w:sz="4" w:space="0"/>
              <w:right w:val="single" w:color="000000" w:sz="4" w:space="0"/>
            </w:tcBorders>
            <w:vAlign w:val="center"/>
          </w:tcPr>
          <w:p>
            <w:pPr>
              <w:widowControl/>
              <w:jc w:val="center"/>
              <w:textAlignment w:val="center"/>
              <w:rPr>
                <w:rFonts w:ascii="仿宋" w:hAnsi="仿宋" w:eastAsia="仿宋" w:cs="方正书宋_GBK"/>
                <w:b/>
                <w:color w:val="000000"/>
                <w:szCs w:val="21"/>
              </w:rPr>
            </w:pPr>
            <w:r>
              <w:rPr>
                <w:rFonts w:hint="eastAsia" w:ascii="仿宋" w:hAnsi="仿宋" w:eastAsia="仿宋" w:cs="方正书宋_GBK"/>
                <w:b/>
                <w:color w:val="000000"/>
                <w:kern w:val="0"/>
                <w:szCs w:val="21"/>
              </w:rPr>
              <w:t>合计</w:t>
            </w:r>
          </w:p>
        </w:tc>
        <w:tc>
          <w:tcPr>
            <w:tcW w:w="1060" w:type="dxa"/>
            <w:tcBorders>
              <w:bottom w:val="single" w:color="000000" w:sz="4" w:space="0"/>
              <w:right w:val="single" w:color="000000" w:sz="4" w:space="0"/>
            </w:tcBorders>
            <w:vAlign w:val="center"/>
          </w:tcPr>
          <w:p>
            <w:pPr>
              <w:widowControl/>
              <w:jc w:val="center"/>
              <w:textAlignment w:val="center"/>
              <w:rPr>
                <w:rFonts w:ascii="仿宋" w:hAnsi="仿宋" w:eastAsia="仿宋" w:cs="方正书宋_GBK"/>
                <w:b/>
                <w:color w:val="000000"/>
                <w:szCs w:val="21"/>
              </w:rPr>
            </w:pPr>
            <w:r>
              <w:rPr>
                <w:rFonts w:hint="eastAsia" w:ascii="仿宋" w:hAnsi="仿宋" w:eastAsia="仿宋" w:cs="方正书宋_GBK"/>
                <w:b/>
                <w:color w:val="000000"/>
                <w:kern w:val="0"/>
                <w:szCs w:val="21"/>
              </w:rPr>
              <w:t>一般公共预算拨款</w:t>
            </w:r>
          </w:p>
        </w:tc>
        <w:tc>
          <w:tcPr>
            <w:tcW w:w="1069" w:type="dxa"/>
            <w:tcBorders>
              <w:top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方正书宋_GBK"/>
                <w:b/>
                <w:color w:val="000000"/>
                <w:szCs w:val="21"/>
              </w:rPr>
            </w:pPr>
            <w:r>
              <w:rPr>
                <w:rFonts w:hint="eastAsia" w:ascii="仿宋" w:hAnsi="仿宋" w:eastAsia="仿宋" w:cs="方正书宋_GBK"/>
                <w:b/>
                <w:color w:val="000000"/>
                <w:kern w:val="0"/>
                <w:szCs w:val="21"/>
              </w:rPr>
              <w:t>基金预算拨款</w:t>
            </w:r>
          </w:p>
        </w:tc>
        <w:tc>
          <w:tcPr>
            <w:tcW w:w="1057" w:type="dxa"/>
            <w:tcBorders>
              <w:top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方正书宋_GBK"/>
                <w:b/>
                <w:color w:val="000000"/>
                <w:szCs w:val="21"/>
              </w:rPr>
            </w:pPr>
            <w:r>
              <w:rPr>
                <w:rFonts w:hint="eastAsia" w:ascii="仿宋" w:hAnsi="仿宋" w:eastAsia="仿宋" w:cs="方正书宋_GBK"/>
                <w:b/>
                <w:color w:val="000000"/>
                <w:kern w:val="0"/>
                <w:szCs w:val="21"/>
              </w:rPr>
              <w:t>财政专户核拨</w:t>
            </w:r>
          </w:p>
        </w:tc>
        <w:tc>
          <w:tcPr>
            <w:tcW w:w="1057" w:type="dxa"/>
            <w:tcBorders>
              <w:top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方正书宋_GBK"/>
                <w:b/>
                <w:color w:val="000000"/>
                <w:szCs w:val="21"/>
              </w:rPr>
            </w:pPr>
            <w:r>
              <w:rPr>
                <w:rFonts w:hint="eastAsia" w:ascii="仿宋" w:hAnsi="仿宋" w:eastAsia="仿宋" w:cs="方正书宋_GBK"/>
                <w:b/>
                <w:color w:val="000000"/>
                <w:kern w:val="0"/>
                <w:szCs w:val="21"/>
              </w:rPr>
              <w:t>其他来源收入</w:t>
            </w:r>
          </w:p>
        </w:tc>
        <w:tc>
          <w:tcPr>
            <w:tcW w:w="1057" w:type="dxa"/>
            <w:vMerge w:val="continue"/>
            <w:tcBorders>
              <w:top w:val="single" w:color="000000" w:sz="4" w:space="0"/>
              <w:bottom w:val="single" w:color="000000" w:sz="4" w:space="0"/>
              <w:right w:val="single" w:color="000000" w:sz="4" w:space="0"/>
            </w:tcBorders>
            <w:vAlign w:val="center"/>
          </w:tcPr>
          <w:p>
            <w:pPr>
              <w:jc w:val="center"/>
              <w:rPr>
                <w:rFonts w:ascii="仿宋" w:hAnsi="仿宋" w:eastAsia="仿宋" w:cs="方正书宋_GBK"/>
                <w:b/>
                <w:color w:val="000000"/>
                <w:szCs w:val="21"/>
              </w:rPr>
            </w:pPr>
          </w:p>
        </w:tc>
      </w:tr>
      <w:tr>
        <w:tblPrEx>
          <w:tblLayout w:type="fixed"/>
          <w:tblCellMar>
            <w:top w:w="15" w:type="dxa"/>
            <w:left w:w="15" w:type="dxa"/>
            <w:bottom w:w="15" w:type="dxa"/>
            <w:right w:w="15" w:type="dxa"/>
          </w:tblCellMar>
        </w:tblPrEx>
        <w:trPr>
          <w:trHeight w:val="285" w:hRule="atLeast"/>
        </w:trPr>
        <w:tc>
          <w:tcPr>
            <w:tcW w:w="128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方正书宋_GBK"/>
                <w:b/>
                <w:color w:val="000000"/>
                <w:szCs w:val="21"/>
              </w:rPr>
            </w:pPr>
            <w:r>
              <w:rPr>
                <w:rFonts w:hint="eastAsia" w:ascii="仿宋" w:hAnsi="仿宋" w:eastAsia="仿宋" w:cs="方正书宋_GBK"/>
                <w:b/>
                <w:color w:val="000000"/>
                <w:kern w:val="0"/>
                <w:szCs w:val="21"/>
              </w:rPr>
              <w:t>合　计</w:t>
            </w:r>
          </w:p>
        </w:tc>
        <w:tc>
          <w:tcPr>
            <w:tcW w:w="1279" w:type="dxa"/>
            <w:tcBorders>
              <w:top w:val="single" w:color="000000" w:sz="4" w:space="0"/>
              <w:bottom w:val="single" w:color="000000" w:sz="4" w:space="0"/>
              <w:right w:val="single" w:color="000000" w:sz="4" w:space="0"/>
            </w:tcBorders>
            <w:vAlign w:val="center"/>
          </w:tcPr>
          <w:p>
            <w:pPr>
              <w:jc w:val="right"/>
              <w:rPr>
                <w:rFonts w:ascii="仿宋" w:hAnsi="仿宋" w:eastAsia="仿宋" w:cs="方正书宋_GBK"/>
                <w:b/>
                <w:color w:val="000000"/>
                <w:szCs w:val="21"/>
              </w:rPr>
            </w:pPr>
          </w:p>
        </w:tc>
        <w:tc>
          <w:tcPr>
            <w:tcW w:w="1057" w:type="dxa"/>
            <w:tcBorders>
              <w:top w:val="single" w:color="000000" w:sz="4" w:space="0"/>
              <w:bottom w:val="single" w:color="000000" w:sz="4" w:space="0"/>
              <w:right w:val="single" w:color="000000" w:sz="4" w:space="0"/>
            </w:tcBorders>
            <w:vAlign w:val="center"/>
          </w:tcPr>
          <w:p>
            <w:pPr>
              <w:jc w:val="left"/>
              <w:rPr>
                <w:rFonts w:ascii="仿宋" w:hAnsi="仿宋" w:eastAsia="仿宋" w:cs="方正书宋_GBK"/>
                <w:b/>
                <w:color w:val="000000"/>
                <w:szCs w:val="21"/>
              </w:rPr>
            </w:pPr>
          </w:p>
        </w:tc>
        <w:tc>
          <w:tcPr>
            <w:tcW w:w="1071" w:type="dxa"/>
            <w:tcBorders>
              <w:top w:val="single" w:color="000000" w:sz="4" w:space="0"/>
              <w:bottom w:val="single" w:color="000000" w:sz="4" w:space="0"/>
              <w:right w:val="single" w:color="000000" w:sz="4" w:space="0"/>
            </w:tcBorders>
            <w:vAlign w:val="center"/>
          </w:tcPr>
          <w:p>
            <w:pPr>
              <w:jc w:val="left"/>
              <w:rPr>
                <w:rFonts w:ascii="仿宋" w:hAnsi="仿宋" w:eastAsia="仿宋" w:cs="方正书宋_GBK"/>
                <w:b/>
                <w:color w:val="000000"/>
                <w:szCs w:val="21"/>
              </w:rPr>
            </w:pPr>
          </w:p>
        </w:tc>
        <w:tc>
          <w:tcPr>
            <w:tcW w:w="736" w:type="dxa"/>
            <w:tcBorders>
              <w:top w:val="single" w:color="000000" w:sz="4" w:space="0"/>
              <w:bottom w:val="single" w:color="000000" w:sz="4" w:space="0"/>
              <w:right w:val="single" w:color="000000" w:sz="4" w:space="0"/>
            </w:tcBorders>
            <w:vAlign w:val="center"/>
          </w:tcPr>
          <w:p>
            <w:pPr>
              <w:jc w:val="left"/>
              <w:rPr>
                <w:rFonts w:ascii="仿宋" w:hAnsi="仿宋" w:eastAsia="仿宋" w:cs="方正书宋_GBK"/>
                <w:b/>
                <w:color w:val="000000"/>
                <w:szCs w:val="21"/>
              </w:rPr>
            </w:pPr>
          </w:p>
        </w:tc>
        <w:tc>
          <w:tcPr>
            <w:tcW w:w="530" w:type="dxa"/>
            <w:tcBorders>
              <w:top w:val="single" w:color="000000" w:sz="4" w:space="0"/>
              <w:bottom w:val="single" w:color="000000" w:sz="4" w:space="0"/>
              <w:right w:val="single" w:color="000000" w:sz="4" w:space="0"/>
            </w:tcBorders>
            <w:vAlign w:val="center"/>
          </w:tcPr>
          <w:p>
            <w:pPr>
              <w:jc w:val="right"/>
              <w:rPr>
                <w:rFonts w:ascii="仿宋" w:hAnsi="仿宋" w:eastAsia="仿宋" w:cs="方正书宋_GBK"/>
                <w:b/>
                <w:color w:val="000000"/>
                <w:szCs w:val="21"/>
              </w:rPr>
            </w:pPr>
          </w:p>
        </w:tc>
        <w:tc>
          <w:tcPr>
            <w:tcW w:w="665" w:type="dxa"/>
            <w:tcBorders>
              <w:top w:val="single" w:color="000000" w:sz="4" w:space="0"/>
              <w:bottom w:val="single" w:color="000000" w:sz="4" w:space="0"/>
              <w:right w:val="single" w:color="000000" w:sz="4" w:space="0"/>
            </w:tcBorders>
            <w:vAlign w:val="center"/>
          </w:tcPr>
          <w:p>
            <w:pPr>
              <w:jc w:val="right"/>
              <w:rPr>
                <w:rFonts w:ascii="仿宋" w:hAnsi="仿宋" w:eastAsia="仿宋" w:cs="方正书宋_GBK"/>
                <w:b/>
                <w:color w:val="000000"/>
                <w:szCs w:val="21"/>
              </w:rPr>
            </w:pPr>
          </w:p>
        </w:tc>
        <w:tc>
          <w:tcPr>
            <w:tcW w:w="879" w:type="dxa"/>
            <w:tcBorders>
              <w:top w:val="single" w:color="000000" w:sz="4" w:space="0"/>
              <w:bottom w:val="single" w:color="000000" w:sz="4" w:space="0"/>
              <w:right w:val="single" w:color="000000" w:sz="4" w:space="0"/>
            </w:tcBorders>
            <w:vAlign w:val="center"/>
          </w:tcPr>
          <w:p>
            <w:pPr>
              <w:widowControl/>
              <w:jc w:val="right"/>
              <w:textAlignment w:val="center"/>
              <w:rPr>
                <w:rFonts w:ascii="仿宋" w:hAnsi="仿宋" w:eastAsia="仿宋" w:cs="方正书宋_GBK"/>
                <w:b/>
                <w:color w:val="000000"/>
                <w:szCs w:val="21"/>
              </w:rPr>
            </w:pPr>
          </w:p>
        </w:tc>
        <w:tc>
          <w:tcPr>
            <w:tcW w:w="1069" w:type="dxa"/>
            <w:tcBorders>
              <w:top w:val="single" w:color="000000" w:sz="4" w:space="0"/>
              <w:bottom w:val="single" w:color="000000" w:sz="4" w:space="0"/>
              <w:right w:val="single" w:color="000000" w:sz="4" w:space="0"/>
            </w:tcBorders>
            <w:vAlign w:val="center"/>
          </w:tcPr>
          <w:p>
            <w:pPr>
              <w:widowControl/>
              <w:jc w:val="right"/>
              <w:textAlignment w:val="center"/>
              <w:rPr>
                <w:rFonts w:ascii="仿宋" w:hAnsi="仿宋" w:eastAsia="仿宋" w:cs="方正书宋_GBK"/>
                <w:b/>
                <w:color w:val="000000"/>
                <w:szCs w:val="21"/>
              </w:rPr>
            </w:pPr>
          </w:p>
        </w:tc>
        <w:tc>
          <w:tcPr>
            <w:tcW w:w="1060" w:type="dxa"/>
            <w:tcBorders>
              <w:top w:val="single" w:color="000000" w:sz="4" w:space="0"/>
              <w:bottom w:val="single" w:color="000000" w:sz="4" w:space="0"/>
              <w:right w:val="single" w:color="000000" w:sz="4" w:space="0"/>
            </w:tcBorders>
            <w:vAlign w:val="center"/>
          </w:tcPr>
          <w:p>
            <w:pPr>
              <w:widowControl/>
              <w:jc w:val="right"/>
              <w:textAlignment w:val="center"/>
              <w:rPr>
                <w:rFonts w:ascii="仿宋" w:hAnsi="仿宋" w:eastAsia="仿宋" w:cs="方正书宋_GBK"/>
                <w:b/>
                <w:color w:val="000000"/>
                <w:szCs w:val="21"/>
              </w:rPr>
            </w:pPr>
          </w:p>
        </w:tc>
        <w:tc>
          <w:tcPr>
            <w:tcW w:w="1069" w:type="dxa"/>
            <w:tcBorders>
              <w:top w:val="single" w:color="000000" w:sz="4" w:space="0"/>
              <w:bottom w:val="single" w:color="000000" w:sz="4" w:space="0"/>
              <w:right w:val="single" w:color="000000" w:sz="4" w:space="0"/>
            </w:tcBorders>
            <w:vAlign w:val="center"/>
          </w:tcPr>
          <w:p>
            <w:pPr>
              <w:widowControl/>
              <w:jc w:val="right"/>
              <w:textAlignment w:val="center"/>
              <w:rPr>
                <w:rFonts w:ascii="仿宋" w:hAnsi="仿宋" w:eastAsia="仿宋" w:cs="方正书宋_GBK"/>
                <w:b/>
                <w:color w:val="000000"/>
                <w:szCs w:val="21"/>
              </w:rPr>
            </w:pPr>
          </w:p>
        </w:tc>
        <w:tc>
          <w:tcPr>
            <w:tcW w:w="1057" w:type="dxa"/>
            <w:tcBorders>
              <w:top w:val="single" w:color="000000" w:sz="4" w:space="0"/>
              <w:bottom w:val="single" w:color="000000" w:sz="4" w:space="0"/>
              <w:right w:val="single" w:color="000000" w:sz="4" w:space="0"/>
            </w:tcBorders>
            <w:vAlign w:val="center"/>
          </w:tcPr>
          <w:p>
            <w:pPr>
              <w:jc w:val="right"/>
              <w:rPr>
                <w:rFonts w:ascii="仿宋" w:hAnsi="仿宋" w:eastAsia="仿宋" w:cs="方正书宋_GBK"/>
                <w:b/>
                <w:color w:val="000000"/>
                <w:szCs w:val="21"/>
              </w:rPr>
            </w:pPr>
          </w:p>
        </w:tc>
        <w:tc>
          <w:tcPr>
            <w:tcW w:w="1057" w:type="dxa"/>
            <w:tcBorders>
              <w:top w:val="single" w:color="000000" w:sz="4" w:space="0"/>
              <w:bottom w:val="single" w:color="000000" w:sz="4" w:space="0"/>
              <w:right w:val="single" w:color="000000" w:sz="4" w:space="0"/>
            </w:tcBorders>
            <w:vAlign w:val="center"/>
          </w:tcPr>
          <w:p>
            <w:pPr>
              <w:jc w:val="right"/>
              <w:rPr>
                <w:rFonts w:ascii="仿宋" w:hAnsi="仿宋" w:eastAsia="仿宋" w:cs="方正书宋_GBK"/>
                <w:b/>
                <w:color w:val="000000"/>
                <w:szCs w:val="21"/>
              </w:rPr>
            </w:pPr>
          </w:p>
        </w:tc>
        <w:tc>
          <w:tcPr>
            <w:tcW w:w="1057" w:type="dxa"/>
            <w:tcBorders>
              <w:top w:val="single" w:color="000000" w:sz="4" w:space="0"/>
              <w:bottom w:val="single" w:color="000000" w:sz="4" w:space="0"/>
              <w:right w:val="single" w:color="000000" w:sz="4" w:space="0"/>
            </w:tcBorders>
            <w:vAlign w:val="center"/>
          </w:tcPr>
          <w:p>
            <w:pPr>
              <w:jc w:val="right"/>
              <w:rPr>
                <w:rFonts w:ascii="仿宋" w:hAnsi="仿宋" w:eastAsia="仿宋" w:cs="方正书宋_GBK"/>
                <w:b/>
                <w:color w:val="000000"/>
                <w:szCs w:val="21"/>
              </w:rPr>
            </w:pPr>
          </w:p>
        </w:tc>
      </w:tr>
      <w:tr>
        <w:tblPrEx>
          <w:tblLayout w:type="fixed"/>
          <w:tblCellMar>
            <w:top w:w="15" w:type="dxa"/>
            <w:left w:w="15" w:type="dxa"/>
            <w:bottom w:w="15" w:type="dxa"/>
            <w:right w:w="15" w:type="dxa"/>
          </w:tblCellMar>
        </w:tblPrEx>
        <w:trPr>
          <w:trHeight w:val="765" w:hRule="atLeast"/>
        </w:trPr>
        <w:tc>
          <w:tcPr>
            <w:tcW w:w="1282" w:type="dxa"/>
            <w:tcBorders>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方正书宋_GBK"/>
                <w:b/>
                <w:color w:val="000000"/>
                <w:szCs w:val="21"/>
              </w:rPr>
            </w:pPr>
          </w:p>
        </w:tc>
        <w:tc>
          <w:tcPr>
            <w:tcW w:w="1279" w:type="dxa"/>
            <w:tcBorders>
              <w:bottom w:val="single" w:color="000000" w:sz="4" w:space="0"/>
              <w:right w:val="single" w:color="000000" w:sz="4" w:space="0"/>
            </w:tcBorders>
            <w:vAlign w:val="center"/>
          </w:tcPr>
          <w:p>
            <w:pPr>
              <w:jc w:val="right"/>
              <w:rPr>
                <w:rFonts w:ascii="仿宋" w:hAnsi="仿宋" w:eastAsia="仿宋" w:cs="方正书宋_GBK"/>
                <w:b/>
                <w:color w:val="000000"/>
                <w:szCs w:val="21"/>
              </w:rPr>
            </w:pPr>
          </w:p>
        </w:tc>
        <w:tc>
          <w:tcPr>
            <w:tcW w:w="1057" w:type="dxa"/>
            <w:tcBorders>
              <w:bottom w:val="single" w:color="000000" w:sz="4" w:space="0"/>
              <w:right w:val="single" w:color="000000" w:sz="4" w:space="0"/>
            </w:tcBorders>
            <w:vAlign w:val="center"/>
          </w:tcPr>
          <w:p>
            <w:pPr>
              <w:jc w:val="left"/>
              <w:rPr>
                <w:rFonts w:ascii="仿宋" w:hAnsi="仿宋" w:eastAsia="仿宋" w:cs="方正书宋_GBK"/>
                <w:b/>
                <w:color w:val="000000"/>
                <w:szCs w:val="21"/>
              </w:rPr>
            </w:pPr>
          </w:p>
        </w:tc>
        <w:tc>
          <w:tcPr>
            <w:tcW w:w="1071" w:type="dxa"/>
            <w:tcBorders>
              <w:bottom w:val="single" w:color="000000" w:sz="4" w:space="0"/>
              <w:right w:val="single" w:color="000000" w:sz="4" w:space="0"/>
            </w:tcBorders>
            <w:vAlign w:val="center"/>
          </w:tcPr>
          <w:p>
            <w:pPr>
              <w:jc w:val="left"/>
              <w:rPr>
                <w:rFonts w:ascii="仿宋" w:hAnsi="仿宋" w:eastAsia="仿宋" w:cs="方正书宋_GBK"/>
                <w:b/>
                <w:color w:val="000000"/>
                <w:szCs w:val="21"/>
              </w:rPr>
            </w:pPr>
          </w:p>
        </w:tc>
        <w:tc>
          <w:tcPr>
            <w:tcW w:w="736" w:type="dxa"/>
            <w:tcBorders>
              <w:bottom w:val="single" w:color="000000" w:sz="4" w:space="0"/>
              <w:right w:val="single" w:color="000000" w:sz="4" w:space="0"/>
            </w:tcBorders>
            <w:vAlign w:val="center"/>
          </w:tcPr>
          <w:p>
            <w:pPr>
              <w:jc w:val="left"/>
              <w:rPr>
                <w:rFonts w:ascii="仿宋" w:hAnsi="仿宋" w:eastAsia="仿宋" w:cs="方正书宋_GBK"/>
                <w:b/>
                <w:color w:val="000000"/>
                <w:szCs w:val="21"/>
              </w:rPr>
            </w:pPr>
          </w:p>
        </w:tc>
        <w:tc>
          <w:tcPr>
            <w:tcW w:w="530" w:type="dxa"/>
            <w:tcBorders>
              <w:bottom w:val="single" w:color="000000" w:sz="4" w:space="0"/>
              <w:right w:val="single" w:color="000000" w:sz="4" w:space="0"/>
            </w:tcBorders>
            <w:vAlign w:val="center"/>
          </w:tcPr>
          <w:p>
            <w:pPr>
              <w:jc w:val="right"/>
              <w:rPr>
                <w:rFonts w:ascii="仿宋" w:hAnsi="仿宋" w:eastAsia="仿宋" w:cs="方正书宋_GBK"/>
                <w:b/>
                <w:color w:val="000000"/>
                <w:szCs w:val="21"/>
              </w:rPr>
            </w:pPr>
          </w:p>
        </w:tc>
        <w:tc>
          <w:tcPr>
            <w:tcW w:w="665" w:type="dxa"/>
            <w:tcBorders>
              <w:bottom w:val="single" w:color="000000" w:sz="4" w:space="0"/>
              <w:right w:val="single" w:color="000000" w:sz="4" w:space="0"/>
            </w:tcBorders>
            <w:vAlign w:val="center"/>
          </w:tcPr>
          <w:p>
            <w:pPr>
              <w:jc w:val="right"/>
              <w:rPr>
                <w:rFonts w:ascii="仿宋" w:hAnsi="仿宋" w:eastAsia="仿宋" w:cs="方正书宋_GBK"/>
                <w:b/>
                <w:color w:val="000000"/>
                <w:szCs w:val="21"/>
              </w:rPr>
            </w:pPr>
          </w:p>
        </w:tc>
        <w:tc>
          <w:tcPr>
            <w:tcW w:w="879"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b/>
                <w:color w:val="000000"/>
                <w:szCs w:val="21"/>
              </w:rPr>
            </w:pPr>
          </w:p>
        </w:tc>
        <w:tc>
          <w:tcPr>
            <w:tcW w:w="1069"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b/>
                <w:color w:val="000000"/>
                <w:szCs w:val="21"/>
              </w:rPr>
            </w:pPr>
          </w:p>
        </w:tc>
        <w:tc>
          <w:tcPr>
            <w:tcW w:w="1060"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b/>
                <w:color w:val="000000"/>
                <w:szCs w:val="21"/>
              </w:rPr>
            </w:pPr>
          </w:p>
        </w:tc>
        <w:tc>
          <w:tcPr>
            <w:tcW w:w="1069" w:type="dxa"/>
            <w:tcBorders>
              <w:bottom w:val="single" w:color="000000" w:sz="4" w:space="0"/>
              <w:right w:val="single" w:color="000000" w:sz="4" w:space="0"/>
            </w:tcBorders>
            <w:vAlign w:val="center"/>
          </w:tcPr>
          <w:p>
            <w:pPr>
              <w:jc w:val="right"/>
              <w:rPr>
                <w:rFonts w:ascii="仿宋" w:hAnsi="仿宋" w:eastAsia="仿宋" w:cs="方正书宋_GBK"/>
                <w:b/>
                <w:color w:val="000000"/>
                <w:szCs w:val="21"/>
              </w:rPr>
            </w:pPr>
          </w:p>
        </w:tc>
        <w:tc>
          <w:tcPr>
            <w:tcW w:w="1057" w:type="dxa"/>
            <w:tcBorders>
              <w:bottom w:val="single" w:color="000000" w:sz="4" w:space="0"/>
              <w:right w:val="single" w:color="000000" w:sz="4" w:space="0"/>
            </w:tcBorders>
            <w:vAlign w:val="center"/>
          </w:tcPr>
          <w:p>
            <w:pPr>
              <w:jc w:val="right"/>
              <w:rPr>
                <w:rFonts w:ascii="仿宋" w:hAnsi="仿宋" w:eastAsia="仿宋" w:cs="方正书宋_GBK"/>
                <w:b/>
                <w:color w:val="000000"/>
                <w:szCs w:val="21"/>
              </w:rPr>
            </w:pPr>
          </w:p>
        </w:tc>
        <w:tc>
          <w:tcPr>
            <w:tcW w:w="1057" w:type="dxa"/>
            <w:tcBorders>
              <w:bottom w:val="single" w:color="000000" w:sz="4" w:space="0"/>
              <w:right w:val="single" w:color="000000" w:sz="4" w:space="0"/>
            </w:tcBorders>
            <w:vAlign w:val="center"/>
          </w:tcPr>
          <w:p>
            <w:pPr>
              <w:jc w:val="right"/>
              <w:rPr>
                <w:rFonts w:ascii="仿宋" w:hAnsi="仿宋" w:eastAsia="仿宋" w:cs="方正书宋_GBK"/>
                <w:b/>
                <w:color w:val="000000"/>
                <w:szCs w:val="21"/>
              </w:rPr>
            </w:pPr>
          </w:p>
        </w:tc>
        <w:tc>
          <w:tcPr>
            <w:tcW w:w="1057" w:type="dxa"/>
            <w:tcBorders>
              <w:bottom w:val="single" w:color="000000" w:sz="4" w:space="0"/>
              <w:right w:val="single" w:color="000000" w:sz="4" w:space="0"/>
            </w:tcBorders>
            <w:vAlign w:val="center"/>
          </w:tcPr>
          <w:p>
            <w:pPr>
              <w:rPr>
                <w:rFonts w:ascii="仿宋" w:hAnsi="仿宋" w:eastAsia="仿宋" w:cs="宋体"/>
                <w:color w:val="000000"/>
                <w:sz w:val="24"/>
                <w:szCs w:val="24"/>
              </w:rPr>
            </w:pPr>
          </w:p>
        </w:tc>
      </w:tr>
      <w:tr>
        <w:tblPrEx>
          <w:tblLayout w:type="fixed"/>
          <w:tblCellMar>
            <w:top w:w="15" w:type="dxa"/>
            <w:left w:w="15" w:type="dxa"/>
            <w:bottom w:w="15" w:type="dxa"/>
            <w:right w:w="15" w:type="dxa"/>
          </w:tblCellMar>
        </w:tblPrEx>
        <w:trPr>
          <w:trHeight w:val="765" w:hRule="atLeast"/>
        </w:trPr>
        <w:tc>
          <w:tcPr>
            <w:tcW w:w="1282" w:type="dxa"/>
            <w:tcBorders>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方正书宋_GBK"/>
                <w:color w:val="000000"/>
                <w:szCs w:val="21"/>
              </w:rPr>
            </w:pPr>
          </w:p>
        </w:tc>
        <w:tc>
          <w:tcPr>
            <w:tcW w:w="1279"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1057" w:type="dxa"/>
            <w:tcBorders>
              <w:bottom w:val="single" w:color="000000" w:sz="4" w:space="0"/>
              <w:right w:val="single" w:color="000000" w:sz="4" w:space="0"/>
            </w:tcBorders>
            <w:vAlign w:val="center"/>
          </w:tcPr>
          <w:p>
            <w:pPr>
              <w:widowControl/>
              <w:jc w:val="left"/>
              <w:textAlignment w:val="center"/>
              <w:rPr>
                <w:rFonts w:ascii="仿宋" w:hAnsi="仿宋" w:eastAsia="仿宋" w:cs="方正书宋_GBK"/>
                <w:color w:val="000000"/>
                <w:szCs w:val="21"/>
              </w:rPr>
            </w:pPr>
          </w:p>
        </w:tc>
        <w:tc>
          <w:tcPr>
            <w:tcW w:w="1071" w:type="dxa"/>
            <w:tcBorders>
              <w:bottom w:val="single" w:color="000000" w:sz="4" w:space="0"/>
              <w:right w:val="single" w:color="000000" w:sz="4" w:space="0"/>
            </w:tcBorders>
            <w:vAlign w:val="center"/>
          </w:tcPr>
          <w:p>
            <w:pPr>
              <w:widowControl/>
              <w:jc w:val="left"/>
              <w:textAlignment w:val="center"/>
              <w:rPr>
                <w:rFonts w:ascii="仿宋" w:hAnsi="仿宋" w:eastAsia="仿宋" w:cs="方正书宋_GBK"/>
                <w:color w:val="000000"/>
                <w:szCs w:val="21"/>
              </w:rPr>
            </w:pPr>
          </w:p>
        </w:tc>
        <w:tc>
          <w:tcPr>
            <w:tcW w:w="736" w:type="dxa"/>
            <w:tcBorders>
              <w:bottom w:val="single" w:color="000000" w:sz="4" w:space="0"/>
              <w:right w:val="single" w:color="000000" w:sz="4" w:space="0"/>
            </w:tcBorders>
            <w:vAlign w:val="center"/>
          </w:tcPr>
          <w:p>
            <w:pPr>
              <w:widowControl/>
              <w:jc w:val="left"/>
              <w:textAlignment w:val="center"/>
              <w:rPr>
                <w:rFonts w:ascii="仿宋" w:hAnsi="仿宋" w:eastAsia="仿宋" w:cs="方正书宋_GBK"/>
                <w:color w:val="000000"/>
                <w:szCs w:val="21"/>
              </w:rPr>
            </w:pPr>
          </w:p>
        </w:tc>
        <w:tc>
          <w:tcPr>
            <w:tcW w:w="530"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665"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879"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1069"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1060"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1069" w:type="dxa"/>
            <w:tcBorders>
              <w:bottom w:val="single" w:color="000000" w:sz="4" w:space="0"/>
              <w:right w:val="single" w:color="000000" w:sz="4" w:space="0"/>
            </w:tcBorders>
            <w:vAlign w:val="center"/>
          </w:tcPr>
          <w:p>
            <w:pPr>
              <w:jc w:val="right"/>
              <w:rPr>
                <w:rFonts w:ascii="仿宋" w:hAnsi="仿宋" w:eastAsia="仿宋" w:cs="方正书宋_GBK"/>
                <w:color w:val="000000"/>
                <w:szCs w:val="21"/>
              </w:rPr>
            </w:pPr>
          </w:p>
        </w:tc>
        <w:tc>
          <w:tcPr>
            <w:tcW w:w="1057" w:type="dxa"/>
            <w:tcBorders>
              <w:bottom w:val="single" w:color="000000" w:sz="4" w:space="0"/>
              <w:right w:val="single" w:color="000000" w:sz="4" w:space="0"/>
            </w:tcBorders>
            <w:vAlign w:val="center"/>
          </w:tcPr>
          <w:p>
            <w:pPr>
              <w:jc w:val="right"/>
              <w:rPr>
                <w:rFonts w:ascii="仿宋" w:hAnsi="仿宋" w:eastAsia="仿宋" w:cs="方正书宋_GBK"/>
                <w:color w:val="000000"/>
                <w:szCs w:val="21"/>
              </w:rPr>
            </w:pPr>
          </w:p>
        </w:tc>
        <w:tc>
          <w:tcPr>
            <w:tcW w:w="1057" w:type="dxa"/>
            <w:tcBorders>
              <w:bottom w:val="single" w:color="000000" w:sz="4" w:space="0"/>
              <w:right w:val="single" w:color="000000" w:sz="4" w:space="0"/>
            </w:tcBorders>
            <w:vAlign w:val="center"/>
          </w:tcPr>
          <w:p>
            <w:pPr>
              <w:jc w:val="right"/>
              <w:rPr>
                <w:rFonts w:ascii="仿宋" w:hAnsi="仿宋" w:eastAsia="仿宋" w:cs="方正书宋_GBK"/>
                <w:color w:val="000000"/>
                <w:szCs w:val="21"/>
              </w:rPr>
            </w:pPr>
          </w:p>
        </w:tc>
        <w:tc>
          <w:tcPr>
            <w:tcW w:w="1057" w:type="dxa"/>
            <w:tcBorders>
              <w:bottom w:val="single" w:color="000000" w:sz="4" w:space="0"/>
              <w:right w:val="single" w:color="000000" w:sz="4" w:space="0"/>
            </w:tcBorders>
            <w:vAlign w:val="center"/>
          </w:tcPr>
          <w:p>
            <w:pPr>
              <w:jc w:val="right"/>
              <w:rPr>
                <w:rFonts w:ascii="仿宋" w:hAnsi="仿宋" w:eastAsia="仿宋" w:cs="方正书宋_GBK"/>
                <w:color w:val="000000"/>
                <w:szCs w:val="21"/>
              </w:rPr>
            </w:pPr>
          </w:p>
        </w:tc>
      </w:tr>
      <w:tr>
        <w:tblPrEx>
          <w:tblLayout w:type="fixed"/>
          <w:tblCellMar>
            <w:top w:w="15" w:type="dxa"/>
            <w:left w:w="15" w:type="dxa"/>
            <w:bottom w:w="15" w:type="dxa"/>
            <w:right w:w="15" w:type="dxa"/>
          </w:tblCellMar>
        </w:tblPrEx>
        <w:trPr>
          <w:trHeight w:val="765" w:hRule="atLeast"/>
        </w:trPr>
        <w:tc>
          <w:tcPr>
            <w:tcW w:w="1282" w:type="dxa"/>
            <w:tcBorders>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方正书宋_GBK"/>
                <w:color w:val="000000"/>
                <w:szCs w:val="21"/>
              </w:rPr>
            </w:pPr>
          </w:p>
        </w:tc>
        <w:tc>
          <w:tcPr>
            <w:tcW w:w="1279"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1057" w:type="dxa"/>
            <w:tcBorders>
              <w:bottom w:val="single" w:color="000000" w:sz="4" w:space="0"/>
              <w:right w:val="single" w:color="000000" w:sz="4" w:space="0"/>
            </w:tcBorders>
            <w:vAlign w:val="center"/>
          </w:tcPr>
          <w:p>
            <w:pPr>
              <w:widowControl/>
              <w:jc w:val="left"/>
              <w:textAlignment w:val="center"/>
              <w:rPr>
                <w:rFonts w:ascii="仿宋" w:hAnsi="仿宋" w:eastAsia="仿宋" w:cs="方正书宋_GBK"/>
                <w:color w:val="000000"/>
                <w:szCs w:val="21"/>
              </w:rPr>
            </w:pPr>
          </w:p>
        </w:tc>
        <w:tc>
          <w:tcPr>
            <w:tcW w:w="1071" w:type="dxa"/>
            <w:tcBorders>
              <w:bottom w:val="single" w:color="000000" w:sz="4" w:space="0"/>
              <w:right w:val="single" w:color="000000" w:sz="4" w:space="0"/>
            </w:tcBorders>
            <w:vAlign w:val="center"/>
          </w:tcPr>
          <w:p>
            <w:pPr>
              <w:widowControl/>
              <w:jc w:val="left"/>
              <w:textAlignment w:val="center"/>
              <w:rPr>
                <w:rFonts w:ascii="仿宋" w:hAnsi="仿宋" w:eastAsia="仿宋" w:cs="方正书宋_GBK"/>
                <w:color w:val="000000"/>
                <w:szCs w:val="21"/>
              </w:rPr>
            </w:pPr>
          </w:p>
        </w:tc>
        <w:tc>
          <w:tcPr>
            <w:tcW w:w="736" w:type="dxa"/>
            <w:tcBorders>
              <w:bottom w:val="single" w:color="000000" w:sz="4" w:space="0"/>
              <w:right w:val="single" w:color="000000" w:sz="4" w:space="0"/>
            </w:tcBorders>
            <w:vAlign w:val="center"/>
          </w:tcPr>
          <w:p>
            <w:pPr>
              <w:widowControl/>
              <w:jc w:val="left"/>
              <w:textAlignment w:val="center"/>
              <w:rPr>
                <w:rFonts w:ascii="仿宋" w:hAnsi="仿宋" w:eastAsia="仿宋" w:cs="方正书宋_GBK"/>
                <w:color w:val="000000"/>
                <w:szCs w:val="21"/>
              </w:rPr>
            </w:pPr>
          </w:p>
        </w:tc>
        <w:tc>
          <w:tcPr>
            <w:tcW w:w="530"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665"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879"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1069"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1060"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1069" w:type="dxa"/>
            <w:tcBorders>
              <w:bottom w:val="single" w:color="000000" w:sz="4" w:space="0"/>
              <w:right w:val="single" w:color="000000" w:sz="4" w:space="0"/>
            </w:tcBorders>
            <w:vAlign w:val="center"/>
          </w:tcPr>
          <w:p>
            <w:pPr>
              <w:jc w:val="right"/>
              <w:rPr>
                <w:rFonts w:ascii="仿宋" w:hAnsi="仿宋" w:eastAsia="仿宋" w:cs="方正书宋_GBK"/>
                <w:color w:val="000000"/>
                <w:szCs w:val="21"/>
              </w:rPr>
            </w:pPr>
          </w:p>
        </w:tc>
        <w:tc>
          <w:tcPr>
            <w:tcW w:w="1057" w:type="dxa"/>
            <w:tcBorders>
              <w:bottom w:val="single" w:color="000000" w:sz="4" w:space="0"/>
              <w:right w:val="single" w:color="000000" w:sz="4" w:space="0"/>
            </w:tcBorders>
            <w:vAlign w:val="center"/>
          </w:tcPr>
          <w:p>
            <w:pPr>
              <w:jc w:val="right"/>
              <w:rPr>
                <w:rFonts w:ascii="仿宋" w:hAnsi="仿宋" w:eastAsia="仿宋" w:cs="方正书宋_GBK"/>
                <w:color w:val="000000"/>
                <w:szCs w:val="21"/>
              </w:rPr>
            </w:pPr>
          </w:p>
        </w:tc>
        <w:tc>
          <w:tcPr>
            <w:tcW w:w="1057" w:type="dxa"/>
            <w:tcBorders>
              <w:bottom w:val="single" w:color="000000" w:sz="4" w:space="0"/>
              <w:right w:val="single" w:color="000000" w:sz="4" w:space="0"/>
            </w:tcBorders>
            <w:vAlign w:val="center"/>
          </w:tcPr>
          <w:p>
            <w:pPr>
              <w:jc w:val="right"/>
              <w:rPr>
                <w:rFonts w:ascii="仿宋" w:hAnsi="仿宋" w:eastAsia="仿宋" w:cs="方正书宋_GBK"/>
                <w:color w:val="000000"/>
                <w:szCs w:val="21"/>
              </w:rPr>
            </w:pPr>
          </w:p>
        </w:tc>
        <w:tc>
          <w:tcPr>
            <w:tcW w:w="1057" w:type="dxa"/>
            <w:tcBorders>
              <w:bottom w:val="single" w:color="000000" w:sz="4" w:space="0"/>
              <w:right w:val="single" w:color="000000" w:sz="4" w:space="0"/>
            </w:tcBorders>
            <w:vAlign w:val="center"/>
          </w:tcPr>
          <w:p>
            <w:pPr>
              <w:jc w:val="right"/>
              <w:rPr>
                <w:rFonts w:ascii="仿宋" w:hAnsi="仿宋" w:eastAsia="仿宋" w:cs="方正书宋_GBK"/>
                <w:color w:val="000000"/>
                <w:szCs w:val="21"/>
              </w:rPr>
            </w:pPr>
          </w:p>
        </w:tc>
      </w:tr>
      <w:tr>
        <w:tblPrEx>
          <w:tblLayout w:type="fixed"/>
          <w:tblCellMar>
            <w:top w:w="15" w:type="dxa"/>
            <w:left w:w="15" w:type="dxa"/>
            <w:bottom w:w="15" w:type="dxa"/>
            <w:right w:w="15" w:type="dxa"/>
          </w:tblCellMar>
        </w:tblPrEx>
        <w:trPr>
          <w:trHeight w:val="765" w:hRule="atLeast"/>
        </w:trPr>
        <w:tc>
          <w:tcPr>
            <w:tcW w:w="1282" w:type="dxa"/>
            <w:tcBorders>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方正书宋_GBK"/>
                <w:color w:val="000000"/>
                <w:szCs w:val="21"/>
              </w:rPr>
            </w:pPr>
          </w:p>
        </w:tc>
        <w:tc>
          <w:tcPr>
            <w:tcW w:w="1279" w:type="dxa"/>
            <w:tcBorders>
              <w:bottom w:val="single" w:color="000000" w:sz="4" w:space="0"/>
              <w:right w:val="single" w:color="000000" w:sz="4" w:space="0"/>
            </w:tcBorders>
            <w:vAlign w:val="center"/>
          </w:tcPr>
          <w:p>
            <w:pPr>
              <w:widowControl/>
              <w:ind w:right="105"/>
              <w:jc w:val="right"/>
              <w:textAlignment w:val="center"/>
              <w:rPr>
                <w:rFonts w:ascii="仿宋" w:hAnsi="仿宋" w:eastAsia="仿宋" w:cs="方正书宋_GBK"/>
                <w:color w:val="000000"/>
                <w:szCs w:val="21"/>
              </w:rPr>
            </w:pPr>
          </w:p>
        </w:tc>
        <w:tc>
          <w:tcPr>
            <w:tcW w:w="1057" w:type="dxa"/>
            <w:tcBorders>
              <w:bottom w:val="single" w:color="000000" w:sz="4" w:space="0"/>
              <w:right w:val="single" w:color="000000" w:sz="4" w:space="0"/>
            </w:tcBorders>
            <w:vAlign w:val="center"/>
          </w:tcPr>
          <w:p>
            <w:pPr>
              <w:widowControl/>
              <w:jc w:val="left"/>
              <w:textAlignment w:val="center"/>
              <w:rPr>
                <w:rFonts w:ascii="仿宋" w:hAnsi="仿宋" w:eastAsia="仿宋" w:cs="方正书宋_GBK"/>
                <w:color w:val="000000"/>
                <w:szCs w:val="21"/>
              </w:rPr>
            </w:pPr>
          </w:p>
        </w:tc>
        <w:tc>
          <w:tcPr>
            <w:tcW w:w="1071" w:type="dxa"/>
            <w:tcBorders>
              <w:bottom w:val="single" w:color="000000" w:sz="4" w:space="0"/>
              <w:right w:val="single" w:color="000000" w:sz="4" w:space="0"/>
            </w:tcBorders>
            <w:vAlign w:val="center"/>
          </w:tcPr>
          <w:p>
            <w:pPr>
              <w:widowControl/>
              <w:jc w:val="left"/>
              <w:textAlignment w:val="center"/>
              <w:rPr>
                <w:rFonts w:ascii="仿宋" w:hAnsi="仿宋" w:eastAsia="仿宋" w:cs="方正书宋_GBK"/>
                <w:color w:val="000000"/>
                <w:szCs w:val="21"/>
              </w:rPr>
            </w:pPr>
          </w:p>
        </w:tc>
        <w:tc>
          <w:tcPr>
            <w:tcW w:w="736" w:type="dxa"/>
            <w:tcBorders>
              <w:bottom w:val="single" w:color="000000" w:sz="4" w:space="0"/>
              <w:right w:val="single" w:color="000000" w:sz="4" w:space="0"/>
            </w:tcBorders>
            <w:vAlign w:val="center"/>
          </w:tcPr>
          <w:p>
            <w:pPr>
              <w:widowControl/>
              <w:jc w:val="left"/>
              <w:textAlignment w:val="center"/>
              <w:rPr>
                <w:rFonts w:ascii="仿宋" w:hAnsi="仿宋" w:eastAsia="仿宋" w:cs="方正书宋_GBK"/>
                <w:color w:val="000000"/>
                <w:szCs w:val="21"/>
              </w:rPr>
            </w:pPr>
          </w:p>
        </w:tc>
        <w:tc>
          <w:tcPr>
            <w:tcW w:w="530"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665"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879"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1069"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1060"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1069" w:type="dxa"/>
            <w:tcBorders>
              <w:bottom w:val="single" w:color="000000" w:sz="4" w:space="0"/>
              <w:right w:val="single" w:color="000000" w:sz="4" w:space="0"/>
            </w:tcBorders>
            <w:vAlign w:val="center"/>
          </w:tcPr>
          <w:p>
            <w:pPr>
              <w:jc w:val="right"/>
              <w:rPr>
                <w:rFonts w:ascii="仿宋" w:hAnsi="仿宋" w:eastAsia="仿宋" w:cs="方正书宋_GBK"/>
                <w:color w:val="000000"/>
                <w:szCs w:val="21"/>
              </w:rPr>
            </w:pPr>
          </w:p>
        </w:tc>
        <w:tc>
          <w:tcPr>
            <w:tcW w:w="1057" w:type="dxa"/>
            <w:tcBorders>
              <w:bottom w:val="single" w:color="000000" w:sz="4" w:space="0"/>
              <w:right w:val="single" w:color="000000" w:sz="4" w:space="0"/>
            </w:tcBorders>
            <w:vAlign w:val="center"/>
          </w:tcPr>
          <w:p>
            <w:pPr>
              <w:jc w:val="right"/>
              <w:rPr>
                <w:rFonts w:ascii="仿宋" w:hAnsi="仿宋" w:eastAsia="仿宋" w:cs="方正书宋_GBK"/>
                <w:color w:val="000000"/>
                <w:szCs w:val="21"/>
              </w:rPr>
            </w:pPr>
          </w:p>
        </w:tc>
        <w:tc>
          <w:tcPr>
            <w:tcW w:w="1057" w:type="dxa"/>
            <w:tcBorders>
              <w:bottom w:val="single" w:color="000000" w:sz="4" w:space="0"/>
              <w:right w:val="single" w:color="000000" w:sz="4" w:space="0"/>
            </w:tcBorders>
            <w:vAlign w:val="center"/>
          </w:tcPr>
          <w:p>
            <w:pPr>
              <w:jc w:val="right"/>
              <w:rPr>
                <w:rFonts w:ascii="仿宋" w:hAnsi="仿宋" w:eastAsia="仿宋" w:cs="方正书宋_GBK"/>
                <w:color w:val="000000"/>
                <w:szCs w:val="21"/>
              </w:rPr>
            </w:pPr>
          </w:p>
        </w:tc>
        <w:tc>
          <w:tcPr>
            <w:tcW w:w="1057" w:type="dxa"/>
            <w:tcBorders>
              <w:bottom w:val="single" w:color="000000" w:sz="4" w:space="0"/>
              <w:right w:val="single" w:color="000000" w:sz="4" w:space="0"/>
            </w:tcBorders>
            <w:vAlign w:val="center"/>
          </w:tcPr>
          <w:p>
            <w:pPr>
              <w:jc w:val="right"/>
              <w:rPr>
                <w:rFonts w:ascii="仿宋" w:hAnsi="仿宋" w:eastAsia="仿宋" w:cs="方正书宋_GBK"/>
                <w:color w:val="000000"/>
                <w:szCs w:val="21"/>
              </w:rPr>
            </w:pPr>
          </w:p>
        </w:tc>
      </w:tr>
      <w:tr>
        <w:tblPrEx>
          <w:tblLayout w:type="fixed"/>
          <w:tblCellMar>
            <w:top w:w="15" w:type="dxa"/>
            <w:left w:w="15" w:type="dxa"/>
            <w:bottom w:w="15" w:type="dxa"/>
            <w:right w:w="15" w:type="dxa"/>
          </w:tblCellMar>
        </w:tblPrEx>
        <w:trPr>
          <w:trHeight w:val="765" w:hRule="atLeast"/>
        </w:trPr>
        <w:tc>
          <w:tcPr>
            <w:tcW w:w="1282" w:type="dxa"/>
            <w:tcBorders>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方正书宋_GBK"/>
                <w:color w:val="000000"/>
                <w:szCs w:val="21"/>
              </w:rPr>
            </w:pPr>
          </w:p>
        </w:tc>
        <w:tc>
          <w:tcPr>
            <w:tcW w:w="1279"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1057" w:type="dxa"/>
            <w:tcBorders>
              <w:bottom w:val="single" w:color="000000" w:sz="4" w:space="0"/>
              <w:right w:val="single" w:color="000000" w:sz="4" w:space="0"/>
            </w:tcBorders>
            <w:vAlign w:val="center"/>
          </w:tcPr>
          <w:p>
            <w:pPr>
              <w:widowControl/>
              <w:jc w:val="left"/>
              <w:textAlignment w:val="center"/>
              <w:rPr>
                <w:rFonts w:ascii="仿宋" w:hAnsi="仿宋" w:eastAsia="仿宋" w:cs="方正书宋_GBK"/>
                <w:color w:val="000000"/>
                <w:szCs w:val="21"/>
              </w:rPr>
            </w:pPr>
          </w:p>
        </w:tc>
        <w:tc>
          <w:tcPr>
            <w:tcW w:w="1071" w:type="dxa"/>
            <w:tcBorders>
              <w:bottom w:val="single" w:color="000000" w:sz="4" w:space="0"/>
              <w:right w:val="single" w:color="000000" w:sz="4" w:space="0"/>
            </w:tcBorders>
            <w:vAlign w:val="center"/>
          </w:tcPr>
          <w:p>
            <w:pPr>
              <w:widowControl/>
              <w:jc w:val="left"/>
              <w:textAlignment w:val="center"/>
              <w:rPr>
                <w:rFonts w:ascii="仿宋" w:hAnsi="仿宋" w:eastAsia="仿宋" w:cs="方正书宋_GBK"/>
                <w:color w:val="000000"/>
                <w:szCs w:val="21"/>
              </w:rPr>
            </w:pPr>
          </w:p>
        </w:tc>
        <w:tc>
          <w:tcPr>
            <w:tcW w:w="736" w:type="dxa"/>
            <w:tcBorders>
              <w:bottom w:val="single" w:color="000000" w:sz="4" w:space="0"/>
              <w:right w:val="single" w:color="000000" w:sz="4" w:space="0"/>
            </w:tcBorders>
            <w:vAlign w:val="center"/>
          </w:tcPr>
          <w:p>
            <w:pPr>
              <w:widowControl/>
              <w:jc w:val="left"/>
              <w:textAlignment w:val="center"/>
              <w:rPr>
                <w:rFonts w:ascii="仿宋" w:hAnsi="仿宋" w:eastAsia="仿宋" w:cs="方正书宋_GBK"/>
                <w:color w:val="000000"/>
                <w:szCs w:val="21"/>
              </w:rPr>
            </w:pPr>
          </w:p>
        </w:tc>
        <w:tc>
          <w:tcPr>
            <w:tcW w:w="530"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665"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879"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1069"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1060"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1069" w:type="dxa"/>
            <w:tcBorders>
              <w:bottom w:val="single" w:color="000000" w:sz="4" w:space="0"/>
              <w:right w:val="single" w:color="000000" w:sz="4" w:space="0"/>
            </w:tcBorders>
            <w:vAlign w:val="center"/>
          </w:tcPr>
          <w:p>
            <w:pPr>
              <w:jc w:val="right"/>
              <w:rPr>
                <w:rFonts w:ascii="仿宋" w:hAnsi="仿宋" w:eastAsia="仿宋" w:cs="方正书宋_GBK"/>
                <w:color w:val="000000"/>
                <w:szCs w:val="21"/>
              </w:rPr>
            </w:pPr>
          </w:p>
        </w:tc>
        <w:tc>
          <w:tcPr>
            <w:tcW w:w="1057" w:type="dxa"/>
            <w:tcBorders>
              <w:bottom w:val="single" w:color="000000" w:sz="4" w:space="0"/>
              <w:right w:val="single" w:color="000000" w:sz="4" w:space="0"/>
            </w:tcBorders>
            <w:vAlign w:val="center"/>
          </w:tcPr>
          <w:p>
            <w:pPr>
              <w:jc w:val="right"/>
              <w:rPr>
                <w:rFonts w:ascii="仿宋" w:hAnsi="仿宋" w:eastAsia="仿宋" w:cs="方正书宋_GBK"/>
                <w:color w:val="000000"/>
                <w:szCs w:val="21"/>
              </w:rPr>
            </w:pPr>
          </w:p>
        </w:tc>
        <w:tc>
          <w:tcPr>
            <w:tcW w:w="1057" w:type="dxa"/>
            <w:tcBorders>
              <w:bottom w:val="single" w:color="000000" w:sz="4" w:space="0"/>
              <w:right w:val="single" w:color="000000" w:sz="4" w:space="0"/>
            </w:tcBorders>
            <w:vAlign w:val="center"/>
          </w:tcPr>
          <w:p>
            <w:pPr>
              <w:jc w:val="right"/>
              <w:rPr>
                <w:rFonts w:ascii="仿宋" w:hAnsi="仿宋" w:eastAsia="仿宋" w:cs="方正书宋_GBK"/>
                <w:color w:val="000000"/>
                <w:szCs w:val="21"/>
              </w:rPr>
            </w:pPr>
          </w:p>
        </w:tc>
        <w:tc>
          <w:tcPr>
            <w:tcW w:w="1057" w:type="dxa"/>
            <w:tcBorders>
              <w:bottom w:val="single" w:color="000000" w:sz="4" w:space="0"/>
              <w:right w:val="single" w:color="000000" w:sz="4" w:space="0"/>
            </w:tcBorders>
            <w:vAlign w:val="center"/>
          </w:tcPr>
          <w:p>
            <w:pPr>
              <w:jc w:val="right"/>
              <w:rPr>
                <w:rFonts w:ascii="仿宋" w:hAnsi="仿宋" w:eastAsia="仿宋" w:cs="方正书宋_GBK"/>
                <w:color w:val="000000"/>
                <w:szCs w:val="21"/>
              </w:rPr>
            </w:pPr>
          </w:p>
        </w:tc>
      </w:tr>
      <w:tr>
        <w:tblPrEx>
          <w:tblLayout w:type="fixed"/>
          <w:tblCellMar>
            <w:top w:w="15" w:type="dxa"/>
            <w:left w:w="15" w:type="dxa"/>
            <w:bottom w:w="15" w:type="dxa"/>
            <w:right w:w="15" w:type="dxa"/>
          </w:tblCellMar>
        </w:tblPrEx>
        <w:trPr>
          <w:trHeight w:val="510" w:hRule="atLeast"/>
        </w:trPr>
        <w:tc>
          <w:tcPr>
            <w:tcW w:w="1282" w:type="dxa"/>
            <w:tcBorders>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方正书宋_GBK"/>
                <w:color w:val="000000"/>
                <w:szCs w:val="21"/>
              </w:rPr>
            </w:pPr>
          </w:p>
        </w:tc>
        <w:tc>
          <w:tcPr>
            <w:tcW w:w="1279"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1057" w:type="dxa"/>
            <w:tcBorders>
              <w:bottom w:val="single" w:color="000000" w:sz="4" w:space="0"/>
              <w:right w:val="single" w:color="000000" w:sz="4" w:space="0"/>
            </w:tcBorders>
            <w:vAlign w:val="center"/>
          </w:tcPr>
          <w:p>
            <w:pPr>
              <w:widowControl/>
              <w:jc w:val="left"/>
              <w:textAlignment w:val="center"/>
              <w:rPr>
                <w:rFonts w:ascii="仿宋" w:hAnsi="仿宋" w:eastAsia="仿宋" w:cs="方正书宋_GBK"/>
                <w:color w:val="000000"/>
                <w:szCs w:val="21"/>
              </w:rPr>
            </w:pPr>
          </w:p>
        </w:tc>
        <w:tc>
          <w:tcPr>
            <w:tcW w:w="1071" w:type="dxa"/>
            <w:tcBorders>
              <w:bottom w:val="single" w:color="000000" w:sz="4" w:space="0"/>
              <w:right w:val="single" w:color="000000" w:sz="4" w:space="0"/>
            </w:tcBorders>
            <w:vAlign w:val="center"/>
          </w:tcPr>
          <w:p>
            <w:pPr>
              <w:widowControl/>
              <w:jc w:val="left"/>
              <w:textAlignment w:val="center"/>
              <w:rPr>
                <w:rFonts w:ascii="仿宋" w:hAnsi="仿宋" w:eastAsia="仿宋" w:cs="方正书宋_GBK"/>
                <w:color w:val="000000"/>
                <w:szCs w:val="21"/>
              </w:rPr>
            </w:pPr>
          </w:p>
        </w:tc>
        <w:tc>
          <w:tcPr>
            <w:tcW w:w="736" w:type="dxa"/>
            <w:tcBorders>
              <w:bottom w:val="single" w:color="000000" w:sz="4" w:space="0"/>
              <w:right w:val="single" w:color="000000" w:sz="4" w:space="0"/>
            </w:tcBorders>
            <w:vAlign w:val="center"/>
          </w:tcPr>
          <w:p>
            <w:pPr>
              <w:widowControl/>
              <w:jc w:val="left"/>
              <w:textAlignment w:val="center"/>
              <w:rPr>
                <w:rFonts w:ascii="仿宋" w:hAnsi="仿宋" w:eastAsia="仿宋" w:cs="方正书宋_GBK"/>
                <w:color w:val="000000"/>
                <w:szCs w:val="21"/>
              </w:rPr>
            </w:pPr>
          </w:p>
        </w:tc>
        <w:tc>
          <w:tcPr>
            <w:tcW w:w="530"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665"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879"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1069"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1060" w:type="dxa"/>
            <w:tcBorders>
              <w:bottom w:val="single" w:color="000000" w:sz="4" w:space="0"/>
              <w:right w:val="single" w:color="000000" w:sz="4" w:space="0"/>
            </w:tcBorders>
            <w:vAlign w:val="center"/>
          </w:tcPr>
          <w:p>
            <w:pPr>
              <w:widowControl/>
              <w:jc w:val="right"/>
              <w:textAlignment w:val="center"/>
              <w:rPr>
                <w:rFonts w:ascii="仿宋" w:hAnsi="仿宋" w:eastAsia="仿宋" w:cs="方正书宋_GBK"/>
                <w:color w:val="000000"/>
                <w:szCs w:val="21"/>
              </w:rPr>
            </w:pPr>
          </w:p>
        </w:tc>
        <w:tc>
          <w:tcPr>
            <w:tcW w:w="1069" w:type="dxa"/>
            <w:tcBorders>
              <w:bottom w:val="single" w:color="000000" w:sz="4" w:space="0"/>
              <w:right w:val="single" w:color="000000" w:sz="4" w:space="0"/>
            </w:tcBorders>
            <w:vAlign w:val="center"/>
          </w:tcPr>
          <w:p>
            <w:pPr>
              <w:jc w:val="right"/>
              <w:rPr>
                <w:rFonts w:ascii="仿宋" w:hAnsi="仿宋" w:eastAsia="仿宋" w:cs="方正书宋_GBK"/>
                <w:color w:val="000000"/>
                <w:szCs w:val="21"/>
              </w:rPr>
            </w:pPr>
          </w:p>
        </w:tc>
        <w:tc>
          <w:tcPr>
            <w:tcW w:w="1057" w:type="dxa"/>
            <w:tcBorders>
              <w:bottom w:val="single" w:color="000000" w:sz="4" w:space="0"/>
              <w:right w:val="single" w:color="000000" w:sz="4" w:space="0"/>
            </w:tcBorders>
            <w:vAlign w:val="center"/>
          </w:tcPr>
          <w:p>
            <w:pPr>
              <w:jc w:val="right"/>
              <w:rPr>
                <w:rFonts w:ascii="仿宋" w:hAnsi="仿宋" w:eastAsia="仿宋" w:cs="方正书宋_GBK"/>
                <w:color w:val="000000"/>
                <w:szCs w:val="21"/>
              </w:rPr>
            </w:pPr>
          </w:p>
        </w:tc>
        <w:tc>
          <w:tcPr>
            <w:tcW w:w="1057" w:type="dxa"/>
            <w:tcBorders>
              <w:bottom w:val="single" w:color="000000" w:sz="4" w:space="0"/>
              <w:right w:val="single" w:color="000000" w:sz="4" w:space="0"/>
            </w:tcBorders>
            <w:vAlign w:val="center"/>
          </w:tcPr>
          <w:p>
            <w:pPr>
              <w:jc w:val="right"/>
              <w:rPr>
                <w:rFonts w:ascii="仿宋" w:hAnsi="仿宋" w:eastAsia="仿宋" w:cs="方正书宋_GBK"/>
                <w:color w:val="000000"/>
                <w:szCs w:val="21"/>
              </w:rPr>
            </w:pPr>
          </w:p>
        </w:tc>
        <w:tc>
          <w:tcPr>
            <w:tcW w:w="1057" w:type="dxa"/>
            <w:tcBorders>
              <w:bottom w:val="single" w:color="000000" w:sz="4" w:space="0"/>
              <w:right w:val="single" w:color="000000" w:sz="4" w:space="0"/>
            </w:tcBorders>
            <w:vAlign w:val="center"/>
          </w:tcPr>
          <w:p>
            <w:pPr>
              <w:jc w:val="right"/>
              <w:rPr>
                <w:rFonts w:ascii="仿宋" w:hAnsi="仿宋" w:eastAsia="仿宋" w:cs="方正书宋_GBK"/>
                <w:color w:val="000000"/>
                <w:szCs w:val="21"/>
              </w:rPr>
            </w:pPr>
          </w:p>
        </w:tc>
      </w:tr>
    </w:tbl>
    <w:p>
      <w:pPr>
        <w:spacing w:line="300" w:lineRule="exact"/>
        <w:jc w:val="left"/>
        <w:outlineLvl w:val="0"/>
        <w:rPr>
          <w:rFonts w:ascii="仿宋" w:hAnsi="仿宋" w:eastAsia="仿宋"/>
          <w:szCs w:val="21"/>
        </w:rPr>
      </w:pPr>
    </w:p>
    <w:p>
      <w:pPr>
        <w:spacing w:line="300" w:lineRule="exact"/>
        <w:jc w:val="left"/>
        <w:outlineLvl w:val="0"/>
        <w:rPr>
          <w:rFonts w:ascii="仿宋" w:hAnsi="仿宋" w:eastAsia="仿宋"/>
          <w:szCs w:val="21"/>
        </w:rPr>
        <w:sectPr>
          <w:pgSz w:w="16838" w:h="11906" w:orient="landscape"/>
          <w:pgMar w:top="1077" w:right="1440" w:bottom="1077" w:left="1440" w:header="851" w:footer="992" w:gutter="0"/>
          <w:cols w:space="720" w:num="1"/>
          <w:docGrid w:type="lines" w:linePitch="312" w:charSpace="0"/>
        </w:sectPr>
      </w:pPr>
      <w:r>
        <w:rPr>
          <w:rFonts w:hint="eastAsia" w:ascii="仿宋" w:hAnsi="仿宋" w:eastAsia="仿宋"/>
          <w:szCs w:val="21"/>
        </w:rPr>
        <w:t>注：</w:t>
      </w:r>
      <w:r>
        <w:rPr>
          <w:rFonts w:ascii="仿宋" w:hAnsi="仿宋" w:eastAsia="仿宋"/>
          <w:szCs w:val="21"/>
        </w:rPr>
        <w:t>2019</w:t>
      </w:r>
      <w:r>
        <w:rPr>
          <w:rFonts w:hint="eastAsia" w:ascii="仿宋" w:hAnsi="仿宋" w:eastAsia="仿宋"/>
          <w:szCs w:val="21"/>
        </w:rPr>
        <w:t>年度我单位无政府采购预算，空表列</w:t>
      </w:r>
    </w:p>
    <w:bookmarkEnd w:id="2"/>
    <w:p>
      <w:pPr>
        <w:autoSpaceDE w:val="0"/>
        <w:autoSpaceDN w:val="0"/>
        <w:adjustRightInd w:val="0"/>
        <w:ind w:firstLine="640" w:firstLineChars="200"/>
        <w:jc w:val="left"/>
        <w:rPr>
          <w:rFonts w:ascii="黑体" w:hAnsi="黑体" w:eastAsia="黑体" w:cs="Times New Roman"/>
          <w:sz w:val="32"/>
          <w:szCs w:val="32"/>
        </w:rPr>
      </w:pPr>
      <w:r>
        <w:rPr>
          <w:rFonts w:hint="eastAsia" w:ascii="黑体" w:hAnsi="黑体" w:eastAsia="黑体" w:cs="Times New Roman"/>
          <w:sz w:val="32"/>
          <w:szCs w:val="32"/>
        </w:rPr>
        <w:t>七、国有资产信息</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石家庄市鹿泉区山尹村镇人民政府</w:t>
      </w:r>
      <w:r>
        <w:rPr>
          <w:rFonts w:hint="eastAsia" w:ascii="仿宋_GB2312" w:hAnsi="仿宋_GB2312" w:eastAsia="仿宋_GB2312" w:cs="仿宋_GB2312"/>
          <w:sz w:val="32"/>
          <w:szCs w:val="32"/>
        </w:rPr>
        <w:t>上年末固定资产金额为</w:t>
      </w:r>
      <w:r>
        <w:rPr>
          <w:rFonts w:hint="eastAsia" w:ascii="仿宋_GB2312" w:hAnsi="仿宋_GB2312" w:eastAsia="仿宋_GB2312" w:cs="仿宋_GB2312"/>
          <w:sz w:val="32"/>
          <w:szCs w:val="32"/>
          <w:lang w:val="en-US" w:eastAsia="zh-CN"/>
        </w:rPr>
        <w:t>546.71</w:t>
      </w:r>
      <w:bookmarkStart w:id="3" w:name="_GoBack"/>
      <w:bookmarkEnd w:id="3"/>
      <w:r>
        <w:rPr>
          <w:rFonts w:hint="eastAsia" w:ascii="仿宋_GB2312" w:hAnsi="仿宋_GB2312" w:eastAsia="仿宋_GB2312" w:cs="仿宋_GB2312"/>
          <w:sz w:val="32"/>
          <w:szCs w:val="32"/>
        </w:rPr>
        <w:t>万元（详见下表）。</w:t>
      </w:r>
    </w:p>
    <w:tbl>
      <w:tblPr>
        <w:tblStyle w:val="8"/>
        <w:tblW w:w="13482" w:type="dxa"/>
        <w:tblInd w:w="93" w:type="dxa"/>
        <w:tblLayout w:type="fixed"/>
        <w:tblCellMar>
          <w:top w:w="0" w:type="dxa"/>
          <w:left w:w="108" w:type="dxa"/>
          <w:bottom w:w="0" w:type="dxa"/>
          <w:right w:w="108" w:type="dxa"/>
        </w:tblCellMar>
      </w:tblPr>
      <w:tblGrid>
        <w:gridCol w:w="5224"/>
        <w:gridCol w:w="3155"/>
        <w:gridCol w:w="5103"/>
      </w:tblGrid>
      <w:tr>
        <w:tblPrEx>
          <w:tblLayout w:type="fixed"/>
          <w:tblCellMar>
            <w:top w:w="0" w:type="dxa"/>
            <w:left w:w="108" w:type="dxa"/>
            <w:bottom w:w="0" w:type="dxa"/>
            <w:right w:w="108" w:type="dxa"/>
          </w:tblCellMar>
        </w:tblPrEx>
        <w:trPr>
          <w:trHeight w:val="705" w:hRule="atLeast"/>
        </w:trPr>
        <w:tc>
          <w:tcPr>
            <w:tcW w:w="13482" w:type="dxa"/>
            <w:gridSpan w:val="3"/>
            <w:tcBorders>
              <w:top w:val="nil"/>
              <w:left w:val="nil"/>
              <w:bottom w:val="nil"/>
              <w:right w:val="nil"/>
            </w:tcBorders>
            <w:shd w:val="clear" w:color="auto" w:fill="auto"/>
            <w:vAlign w:val="center"/>
          </w:tcPr>
          <w:p>
            <w:pPr>
              <w:widowControl/>
              <w:jc w:val="center"/>
              <w:rPr>
                <w:rFonts w:ascii="宋体" w:hAnsi="宋体" w:eastAsia="宋体" w:cs="宋体"/>
                <w:b/>
                <w:bCs/>
                <w:kern w:val="0"/>
                <w:sz w:val="32"/>
                <w:szCs w:val="32"/>
              </w:rPr>
            </w:pPr>
            <w:r>
              <w:rPr>
                <w:rFonts w:hint="eastAsia" w:ascii="宋体" w:hAnsi="宋体" w:eastAsia="宋体" w:cs="宋体"/>
                <w:b/>
                <w:bCs/>
                <w:kern w:val="0"/>
                <w:sz w:val="32"/>
                <w:szCs w:val="32"/>
              </w:rPr>
              <w:t>固定资产占用情况表</w:t>
            </w:r>
          </w:p>
        </w:tc>
      </w:tr>
      <w:tr>
        <w:tblPrEx>
          <w:tblLayout w:type="fixed"/>
          <w:tblCellMar>
            <w:top w:w="0" w:type="dxa"/>
            <w:left w:w="108" w:type="dxa"/>
            <w:bottom w:w="0" w:type="dxa"/>
            <w:right w:w="108" w:type="dxa"/>
          </w:tblCellMar>
        </w:tblPrEx>
        <w:trPr>
          <w:trHeight w:val="510" w:hRule="atLeast"/>
        </w:trPr>
        <w:tc>
          <w:tcPr>
            <w:tcW w:w="8379" w:type="dxa"/>
            <w:gridSpan w:val="2"/>
            <w:tcBorders>
              <w:top w:val="nil"/>
              <w:left w:val="nil"/>
              <w:bottom w:val="nil"/>
              <w:right w:val="nil"/>
            </w:tcBorders>
            <w:shd w:val="clear" w:color="auto" w:fill="auto"/>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rPr>
              <w:t>编制部门：</w:t>
            </w:r>
            <w:r>
              <w:rPr>
                <w:rFonts w:hint="eastAsia" w:ascii="宋体" w:hAnsi="宋体" w:eastAsia="宋体" w:cs="宋体"/>
                <w:kern w:val="0"/>
                <w:sz w:val="22"/>
                <w:lang w:eastAsia="zh-CN"/>
              </w:rPr>
              <w:t>石家庄市鹿泉区山尹村镇人民政府</w:t>
            </w:r>
          </w:p>
        </w:tc>
        <w:tc>
          <w:tcPr>
            <w:tcW w:w="5103" w:type="dxa"/>
            <w:tcBorders>
              <w:top w:val="nil"/>
              <w:left w:val="nil"/>
              <w:bottom w:val="nil"/>
              <w:right w:val="nil"/>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截止时间：2018年12月31日  </w:t>
            </w:r>
          </w:p>
        </w:tc>
      </w:tr>
      <w:tr>
        <w:tblPrEx>
          <w:tblLayout w:type="fixed"/>
          <w:tblCellMar>
            <w:top w:w="0" w:type="dxa"/>
            <w:left w:w="108" w:type="dxa"/>
            <w:bottom w:w="0" w:type="dxa"/>
            <w:right w:w="108" w:type="dxa"/>
          </w:tblCellMar>
        </w:tblPrEx>
        <w:trPr>
          <w:trHeight w:val="645" w:hRule="atLeast"/>
        </w:trPr>
        <w:tc>
          <w:tcPr>
            <w:tcW w:w="522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项   目</w:t>
            </w:r>
          </w:p>
        </w:tc>
        <w:tc>
          <w:tcPr>
            <w:tcW w:w="315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数量</w:t>
            </w:r>
          </w:p>
        </w:tc>
        <w:tc>
          <w:tcPr>
            <w:tcW w:w="510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价值（金额单位：万元）</w:t>
            </w:r>
          </w:p>
        </w:tc>
      </w:tr>
      <w:tr>
        <w:tblPrEx>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资产总额</w:t>
            </w:r>
          </w:p>
        </w:tc>
        <w:tc>
          <w:tcPr>
            <w:tcW w:w="315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2"/>
              </w:rPr>
            </w:pPr>
            <w:r>
              <w:rPr>
                <w:rFonts w:ascii="Times New Roman" w:hAnsi="Times New Roman" w:eastAsia="宋体" w:cs="Times New Roman"/>
                <w:kern w:val="0"/>
                <w:sz w:val="22"/>
              </w:rPr>
              <w:t>——</w:t>
            </w:r>
          </w:p>
        </w:tc>
        <w:tc>
          <w:tcPr>
            <w:tcW w:w="5103"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kern w:val="0"/>
                <w:sz w:val="22"/>
                <w:lang w:val="en-US" w:eastAsia="zh-CN"/>
              </w:rPr>
            </w:pPr>
            <w:r>
              <w:rPr>
                <w:rFonts w:hint="eastAsia" w:ascii="Times New Roman" w:hAnsi="Times New Roman" w:eastAsia="宋体" w:cs="Times New Roman"/>
                <w:kern w:val="0"/>
                <w:sz w:val="22"/>
                <w:lang w:val="en-US" w:eastAsia="zh-CN"/>
              </w:rPr>
              <w:t>546.71</w:t>
            </w:r>
          </w:p>
        </w:tc>
      </w:tr>
      <w:tr>
        <w:tblPrEx>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1、房屋（平方米）</w:t>
            </w:r>
          </w:p>
        </w:tc>
        <w:tc>
          <w:tcPr>
            <w:tcW w:w="3155" w:type="dxa"/>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cs="Times New Roman" w:eastAsiaTheme="minorEastAsia"/>
                <w:sz w:val="22"/>
                <w:lang w:val="en-US" w:eastAsia="zh-CN"/>
              </w:rPr>
            </w:pPr>
            <w:r>
              <w:rPr>
                <w:rFonts w:hint="eastAsia" w:ascii="Times New Roman" w:hAnsi="Times New Roman" w:cs="Times New Roman"/>
                <w:sz w:val="22"/>
                <w:lang w:val="en-US" w:eastAsia="zh-CN"/>
              </w:rPr>
              <w:t>4200</w:t>
            </w:r>
          </w:p>
        </w:tc>
        <w:tc>
          <w:tcPr>
            <w:tcW w:w="5103" w:type="dxa"/>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cs="Times New Roman" w:eastAsiaTheme="minorEastAsia"/>
                <w:sz w:val="22"/>
                <w:lang w:val="en-US" w:eastAsia="zh-CN"/>
              </w:rPr>
            </w:pPr>
            <w:r>
              <w:rPr>
                <w:rFonts w:hint="eastAsia" w:ascii="Times New Roman" w:hAnsi="Times New Roman" w:cs="Times New Roman"/>
                <w:sz w:val="22"/>
                <w:lang w:val="en-US" w:eastAsia="zh-CN"/>
              </w:rPr>
              <w:t>353.57</w:t>
            </w:r>
          </w:p>
        </w:tc>
      </w:tr>
      <w:tr>
        <w:tblPrEx>
          <w:tblLayout w:type="fixed"/>
        </w:tblPrEx>
        <w:trPr>
          <w:trHeight w:val="645" w:hRule="atLeas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其中：办公用房（平方米）</w:t>
            </w:r>
          </w:p>
        </w:tc>
        <w:tc>
          <w:tcPr>
            <w:tcW w:w="3155" w:type="dxa"/>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cs="Times New Roman" w:eastAsiaTheme="minorEastAsia"/>
                <w:sz w:val="22"/>
                <w:lang w:val="en-US" w:eastAsia="zh-CN"/>
              </w:rPr>
            </w:pPr>
            <w:r>
              <w:rPr>
                <w:rFonts w:hint="eastAsia" w:ascii="Times New Roman" w:hAnsi="Times New Roman" w:cs="Times New Roman"/>
                <w:sz w:val="22"/>
                <w:lang w:val="en-US" w:eastAsia="zh-CN"/>
              </w:rPr>
              <w:t>4200</w:t>
            </w:r>
          </w:p>
        </w:tc>
        <w:tc>
          <w:tcPr>
            <w:tcW w:w="5103" w:type="dxa"/>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cs="Times New Roman" w:eastAsiaTheme="minorEastAsia"/>
                <w:sz w:val="22"/>
                <w:lang w:val="en-US" w:eastAsia="zh-CN"/>
              </w:rPr>
            </w:pPr>
            <w:r>
              <w:rPr>
                <w:rFonts w:hint="eastAsia" w:ascii="Times New Roman" w:hAnsi="Times New Roman" w:cs="Times New Roman"/>
                <w:sz w:val="22"/>
                <w:lang w:val="en-US" w:eastAsia="zh-CN"/>
              </w:rPr>
              <w:t>353.57</w:t>
            </w:r>
          </w:p>
        </w:tc>
      </w:tr>
      <w:tr>
        <w:tblPrEx>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2、车辆（台、辆）</w:t>
            </w:r>
          </w:p>
        </w:tc>
        <w:tc>
          <w:tcPr>
            <w:tcW w:w="3155" w:type="dxa"/>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cs="Times New Roman" w:eastAsiaTheme="minorEastAsia"/>
                <w:sz w:val="22"/>
                <w:lang w:eastAsia="zh-CN"/>
              </w:rPr>
            </w:pPr>
            <w:r>
              <w:rPr>
                <w:rFonts w:hint="eastAsia" w:ascii="Times New Roman" w:hAnsi="Times New Roman" w:cs="Times New Roman"/>
                <w:sz w:val="22"/>
                <w:lang w:val="en-US" w:eastAsia="zh-CN"/>
              </w:rPr>
              <w:t>2</w:t>
            </w:r>
          </w:p>
        </w:tc>
        <w:tc>
          <w:tcPr>
            <w:tcW w:w="5103" w:type="dxa"/>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cs="Times New Roman" w:eastAsiaTheme="minorEastAsia"/>
                <w:sz w:val="22"/>
                <w:lang w:val="en-US" w:eastAsia="zh-CN"/>
              </w:rPr>
            </w:pPr>
            <w:r>
              <w:rPr>
                <w:rFonts w:hint="eastAsia" w:ascii="Times New Roman" w:hAnsi="Times New Roman" w:cs="Times New Roman"/>
                <w:sz w:val="22"/>
                <w:lang w:val="en-US" w:eastAsia="zh-CN"/>
              </w:rPr>
              <w:t>19.33</w:t>
            </w:r>
          </w:p>
        </w:tc>
      </w:tr>
      <w:tr>
        <w:tblPrEx>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3、单价在20万元以上的设备</w:t>
            </w:r>
          </w:p>
        </w:tc>
        <w:tc>
          <w:tcPr>
            <w:tcW w:w="3155"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cs="Times New Roman"/>
                <w:sz w:val="22"/>
              </w:rPr>
            </w:pPr>
          </w:p>
        </w:tc>
        <w:tc>
          <w:tcPr>
            <w:tcW w:w="5103"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cs="Times New Roman"/>
                <w:sz w:val="22"/>
              </w:rPr>
            </w:pPr>
          </w:p>
        </w:tc>
      </w:tr>
      <w:tr>
        <w:tblPrEx>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4、其他固定资产</w:t>
            </w:r>
          </w:p>
        </w:tc>
        <w:tc>
          <w:tcPr>
            <w:tcW w:w="3155"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cs="Times New Roman"/>
                <w:sz w:val="22"/>
              </w:rPr>
            </w:pPr>
          </w:p>
        </w:tc>
        <w:tc>
          <w:tcPr>
            <w:tcW w:w="5103" w:type="dxa"/>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cs="Times New Roman" w:eastAsiaTheme="minorEastAsia"/>
                <w:sz w:val="22"/>
                <w:lang w:val="en-US" w:eastAsia="zh-CN"/>
              </w:rPr>
            </w:pPr>
            <w:r>
              <w:rPr>
                <w:rFonts w:hint="eastAsia" w:ascii="Times New Roman" w:hAnsi="Times New Roman" w:cs="Times New Roman"/>
                <w:sz w:val="22"/>
                <w:lang w:val="en-US" w:eastAsia="zh-CN"/>
              </w:rPr>
              <w:t>173.81</w:t>
            </w:r>
          </w:p>
        </w:tc>
      </w:tr>
    </w:tbl>
    <w:p>
      <w:pPr>
        <w:autoSpaceDE w:val="0"/>
        <w:autoSpaceDN w:val="0"/>
        <w:adjustRightInd w:val="0"/>
        <w:ind w:left="198" w:firstLine="640" w:firstLineChars="200"/>
        <w:jc w:val="left"/>
        <w:rPr>
          <w:rFonts w:hint="eastAsia" w:ascii="黑体" w:hAnsi="黑体" w:eastAsia="黑体" w:cs="Times New Roman"/>
          <w:sz w:val="32"/>
          <w:szCs w:val="32"/>
        </w:rPr>
      </w:pPr>
    </w:p>
    <w:p>
      <w:pPr>
        <w:autoSpaceDE w:val="0"/>
        <w:autoSpaceDN w:val="0"/>
        <w:adjustRightInd w:val="0"/>
        <w:ind w:left="198" w:firstLine="640" w:firstLineChars="200"/>
        <w:jc w:val="left"/>
        <w:rPr>
          <w:rFonts w:hint="eastAsia" w:ascii="黑体" w:hAnsi="黑体" w:eastAsia="黑体" w:cs="Times New Roman"/>
          <w:sz w:val="32"/>
          <w:szCs w:val="32"/>
        </w:rPr>
      </w:pPr>
    </w:p>
    <w:p>
      <w:pPr>
        <w:autoSpaceDE w:val="0"/>
        <w:autoSpaceDN w:val="0"/>
        <w:adjustRightInd w:val="0"/>
        <w:ind w:left="198" w:firstLine="640" w:firstLineChars="200"/>
        <w:jc w:val="left"/>
        <w:rPr>
          <w:rFonts w:ascii="黑体" w:hAnsi="黑体" w:eastAsia="黑体" w:cs="Times New Roman"/>
          <w:sz w:val="32"/>
          <w:szCs w:val="32"/>
        </w:rPr>
      </w:pPr>
      <w:r>
        <w:rPr>
          <w:rFonts w:hint="eastAsia" w:ascii="黑体" w:hAnsi="黑体" w:eastAsia="黑体" w:cs="Times New Roman"/>
          <w:sz w:val="32"/>
          <w:szCs w:val="32"/>
        </w:rPr>
        <w:t>八、名词解释</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1、一般公共预算拨款收入：指区级财政当年拨付的资金。</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2、事业收入：指事业单位开展专业业务活动及辅助活动所取得的收入。</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3、其他收入：指除“一般公共预算拨款收入”、“事业收入”等以外的收入。主要是按规定动用的租房收入、存款利息收入等。</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4、基本支出：指为保障机构正常运转、完成日常工作任务而发生的人员支出和公用支出。</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5、项目支出：指在基本支出之外为完成特定行政任务和事业发展目标所发生的支出。</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6、上缴上级支出：指下级单位上缴上级的支出。</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三公”经费：纳入省级财政预算管理的“三公”经费，是指省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机关运行费：是指各部门的公用经费，包括办公及印刷费、邮电费、差旅费、会议费、福利费、日常维修费、专用材料及一般设备购置费、办公用房水电费、办公用房取暖费、办公用房物业管理费、公务用车运行维护费以及其他费用。</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9、上年结转：指以前年度尚未完成、结转到本年仍按原规定用途继续使用的资金。</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10、事业单位经营支出：指事业单位在专业业务活动及其辅助活动之外开展非独立核算经营活动发生的支出。</w:t>
      </w:r>
    </w:p>
    <w:p>
      <w:pPr>
        <w:autoSpaceDE w:val="0"/>
        <w:autoSpaceDN w:val="0"/>
        <w:adjustRightInd w:val="0"/>
        <w:ind w:left="198" w:firstLine="640" w:firstLineChars="200"/>
        <w:jc w:val="left"/>
        <w:rPr>
          <w:rFonts w:ascii="黑体" w:hAnsi="黑体" w:eastAsia="黑体" w:cs="Times New Roman"/>
          <w:sz w:val="32"/>
          <w:szCs w:val="32"/>
        </w:rPr>
      </w:pPr>
      <w:r>
        <w:rPr>
          <w:rFonts w:hint="eastAsia" w:ascii="黑体" w:hAnsi="黑体" w:eastAsia="黑体" w:cs="Times New Roman"/>
          <w:sz w:val="32"/>
          <w:szCs w:val="32"/>
        </w:rPr>
        <w:t>九、其他需要说明的事项</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我部门无其他需要说明的事项。</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w:panose1 w:val="020F0502020204030204"/>
    <w:charset w:val="00"/>
    <w:family w:val="swiss"/>
    <w:pitch w:val="default"/>
    <w:sig w:usb0="00000000" w:usb1="00000000" w:usb2="00000001" w:usb3="00000000" w:csb0="0000019F" w:csb1="00000000"/>
  </w:font>
  <w:font w:name="方正小标宋_GBK">
    <w:altName w:val="宋体"/>
    <w:panose1 w:val="00000000000000000000"/>
    <w:charset w:val="86"/>
    <w:family w:val="script"/>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 w:name="方正仿宋_GBK">
    <w:altName w:val="宋体"/>
    <w:panose1 w:val="00000000000000000000"/>
    <w:charset w:val="86"/>
    <w:family w:val="script"/>
    <w:pitch w:val="default"/>
    <w:sig w:usb0="00000000" w:usb1="00000000" w:usb2="00000010" w:usb3="00000000" w:csb0="00040000" w:csb1="00000000"/>
  </w:font>
  <w:font w:name="方正书宋_GBK">
    <w:altName w:val="方正兰亭超细黑简体"/>
    <w:panose1 w:val="00000000000000000000"/>
    <w:charset w:val="86"/>
    <w:family w:val="script"/>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方正楷体_GBK">
    <w:altName w:val="宋体"/>
    <w:panose1 w:val="00000000000000000000"/>
    <w:charset w:val="86"/>
    <w:family w:val="roman"/>
    <w:pitch w:val="default"/>
    <w:sig w:usb0="00000000" w:usb1="00000000" w:usb2="00000000" w:usb3="00000000" w:csb0="00040001" w:csb1="00000000"/>
  </w:font>
  <w:font w:name="仿宋">
    <w:altName w:val="宋体"/>
    <w:panose1 w:val="02010609060101010101"/>
    <w:charset w:val="86"/>
    <w:family w:val="modern"/>
    <w:pitch w:val="default"/>
    <w:sig w:usb0="00000000" w:usb1="00000000" w:usb2="00000016" w:usb3="00000000" w:csb0="00040001" w:csb1="00000000"/>
  </w:font>
  <w:font w:name="Lucida Sans">
    <w:panose1 w:val="020B0602030504020204"/>
    <w:charset w:val="00"/>
    <w:family w:val="auto"/>
    <w:pitch w:val="default"/>
    <w:sig w:usb0="00000000" w:usb1="00000000" w:usb2="00000000" w:usb3="00000000" w:csb0="00000000" w:csb1="00000000"/>
  </w:font>
  <w:font w:name="方正兰亭超细黑简体">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id="0">
    <w:p>
      <w:pPr>
        <w:pStyle w:val="6"/>
        <w:rPr>
          <w:rFonts w:hint="eastAsia"/>
        </w:rPr>
      </w:pPr>
      <w:r>
        <w:rPr>
          <w:rStyle w:val="12"/>
        </w:rPr>
        <w:sym w:font="Symbol" w:char="F020"/>
      </w:r>
      <w:r>
        <w:rPr>
          <w:rFonts w:hint="eastAsia" w:ascii="方正楷体_GBK" w:eastAsia="方正楷体_GBK"/>
          <w:sz w:val="24"/>
        </w:rPr>
        <w:t>备注：表中的年度预算数为项目支出，部门工作活动虽未安排项目支出，但由基本支出保障，由于基本支出无法拆分到相应的工作活动，因此部分工作活动没有列示年度预算数。</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F66032"/>
    <w:rsid w:val="00034786"/>
    <w:rsid w:val="00037AF6"/>
    <w:rsid w:val="00042F57"/>
    <w:rsid w:val="0006483E"/>
    <w:rsid w:val="00075D5F"/>
    <w:rsid w:val="0008102F"/>
    <w:rsid w:val="000B529B"/>
    <w:rsid w:val="000C3A19"/>
    <w:rsid w:val="001245BB"/>
    <w:rsid w:val="001251A3"/>
    <w:rsid w:val="00165294"/>
    <w:rsid w:val="001B4EF3"/>
    <w:rsid w:val="001F7873"/>
    <w:rsid w:val="00241FD4"/>
    <w:rsid w:val="00251B12"/>
    <w:rsid w:val="00296113"/>
    <w:rsid w:val="002A673A"/>
    <w:rsid w:val="002C07BE"/>
    <w:rsid w:val="002C5E13"/>
    <w:rsid w:val="002C62BC"/>
    <w:rsid w:val="002E0EB8"/>
    <w:rsid w:val="002F3E58"/>
    <w:rsid w:val="0030542C"/>
    <w:rsid w:val="00311B7A"/>
    <w:rsid w:val="00372FA3"/>
    <w:rsid w:val="003D417F"/>
    <w:rsid w:val="003F60E9"/>
    <w:rsid w:val="004248B8"/>
    <w:rsid w:val="00424943"/>
    <w:rsid w:val="0043175C"/>
    <w:rsid w:val="00437296"/>
    <w:rsid w:val="00451590"/>
    <w:rsid w:val="00451871"/>
    <w:rsid w:val="004631FC"/>
    <w:rsid w:val="004706DE"/>
    <w:rsid w:val="00472923"/>
    <w:rsid w:val="00496109"/>
    <w:rsid w:val="004B0C3A"/>
    <w:rsid w:val="004D5788"/>
    <w:rsid w:val="004E3066"/>
    <w:rsid w:val="004E74CD"/>
    <w:rsid w:val="00516E04"/>
    <w:rsid w:val="00565588"/>
    <w:rsid w:val="00572067"/>
    <w:rsid w:val="00573562"/>
    <w:rsid w:val="00590ECE"/>
    <w:rsid w:val="00592ADD"/>
    <w:rsid w:val="00614A29"/>
    <w:rsid w:val="00643AA7"/>
    <w:rsid w:val="00673D76"/>
    <w:rsid w:val="00674CD7"/>
    <w:rsid w:val="006854F0"/>
    <w:rsid w:val="006B1C4A"/>
    <w:rsid w:val="006B610D"/>
    <w:rsid w:val="006E49F5"/>
    <w:rsid w:val="007013C8"/>
    <w:rsid w:val="00717B1E"/>
    <w:rsid w:val="00753836"/>
    <w:rsid w:val="0075393C"/>
    <w:rsid w:val="00754592"/>
    <w:rsid w:val="00776C08"/>
    <w:rsid w:val="007C219A"/>
    <w:rsid w:val="007E1DA8"/>
    <w:rsid w:val="007F6C26"/>
    <w:rsid w:val="00813208"/>
    <w:rsid w:val="008334AE"/>
    <w:rsid w:val="00836FED"/>
    <w:rsid w:val="0083724E"/>
    <w:rsid w:val="00845CD2"/>
    <w:rsid w:val="00852B0D"/>
    <w:rsid w:val="00881692"/>
    <w:rsid w:val="00883D1A"/>
    <w:rsid w:val="008A25C2"/>
    <w:rsid w:val="008A6576"/>
    <w:rsid w:val="008B3CC5"/>
    <w:rsid w:val="008B52CD"/>
    <w:rsid w:val="008E4261"/>
    <w:rsid w:val="008F4662"/>
    <w:rsid w:val="00905D08"/>
    <w:rsid w:val="00922AEB"/>
    <w:rsid w:val="00923E3C"/>
    <w:rsid w:val="00925753"/>
    <w:rsid w:val="009425F4"/>
    <w:rsid w:val="00966C5C"/>
    <w:rsid w:val="00973104"/>
    <w:rsid w:val="00995BF0"/>
    <w:rsid w:val="009A16D5"/>
    <w:rsid w:val="009A353D"/>
    <w:rsid w:val="009B0B77"/>
    <w:rsid w:val="009B511E"/>
    <w:rsid w:val="00A44E3D"/>
    <w:rsid w:val="00A72D2E"/>
    <w:rsid w:val="00A74447"/>
    <w:rsid w:val="00A74CE5"/>
    <w:rsid w:val="00A911E7"/>
    <w:rsid w:val="00A939D9"/>
    <w:rsid w:val="00B07D9E"/>
    <w:rsid w:val="00B20712"/>
    <w:rsid w:val="00B43238"/>
    <w:rsid w:val="00B45DD3"/>
    <w:rsid w:val="00B52632"/>
    <w:rsid w:val="00B727A9"/>
    <w:rsid w:val="00B75216"/>
    <w:rsid w:val="00B91D52"/>
    <w:rsid w:val="00B9490F"/>
    <w:rsid w:val="00BA1ACD"/>
    <w:rsid w:val="00BD09F8"/>
    <w:rsid w:val="00CA7176"/>
    <w:rsid w:val="00CB3D48"/>
    <w:rsid w:val="00CB4665"/>
    <w:rsid w:val="00CC75B0"/>
    <w:rsid w:val="00CD2773"/>
    <w:rsid w:val="00CE143B"/>
    <w:rsid w:val="00D0024A"/>
    <w:rsid w:val="00D27003"/>
    <w:rsid w:val="00DB4A9B"/>
    <w:rsid w:val="00E167C7"/>
    <w:rsid w:val="00E2482E"/>
    <w:rsid w:val="00E73D47"/>
    <w:rsid w:val="00EB49D4"/>
    <w:rsid w:val="00EC47F6"/>
    <w:rsid w:val="00EE156D"/>
    <w:rsid w:val="00EE65B8"/>
    <w:rsid w:val="00F149E2"/>
    <w:rsid w:val="00F66032"/>
    <w:rsid w:val="00F87C1E"/>
    <w:rsid w:val="00F958C2"/>
    <w:rsid w:val="03D93D6E"/>
    <w:rsid w:val="0C2A6142"/>
    <w:rsid w:val="100B529D"/>
    <w:rsid w:val="16591D29"/>
    <w:rsid w:val="171B75D6"/>
    <w:rsid w:val="20FE5055"/>
    <w:rsid w:val="21492791"/>
    <w:rsid w:val="22721E69"/>
    <w:rsid w:val="23926E1F"/>
    <w:rsid w:val="2A8B4549"/>
    <w:rsid w:val="2F340E01"/>
    <w:rsid w:val="2FB04AD9"/>
    <w:rsid w:val="36801CC7"/>
    <w:rsid w:val="40D9345D"/>
    <w:rsid w:val="428428E3"/>
    <w:rsid w:val="4D43296D"/>
    <w:rsid w:val="4EF97FC2"/>
    <w:rsid w:val="56074FC6"/>
    <w:rsid w:val="5E590E25"/>
    <w:rsid w:val="637A1B7B"/>
    <w:rsid w:val="67D33160"/>
    <w:rsid w:val="6A6155DF"/>
    <w:rsid w:val="6EAA693A"/>
    <w:rsid w:val="72E46192"/>
    <w:rsid w:val="753113F9"/>
    <w:rsid w:val="78F774EB"/>
    <w:rsid w:val="7B3B1D83"/>
    <w:rsid w:val="7FAE24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unhideWhenUsed/>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5"/>
    <w:unhideWhenUsed/>
    <w:qFormat/>
    <w:uiPriority w:val="99"/>
    <w:rPr>
      <w:sz w:val="18"/>
      <w:szCs w:val="18"/>
    </w:rPr>
  </w:style>
  <w:style w:type="paragraph" w:styleId="3">
    <w:name w:val="footer"/>
    <w:basedOn w:val="1"/>
    <w:link w:val="14"/>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4">
    <w:name w:val="header"/>
    <w:basedOn w:val="1"/>
    <w:link w:val="13"/>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5">
    <w:name w:val="toc 1"/>
    <w:basedOn w:val="1"/>
    <w:next w:val="1"/>
    <w:qFormat/>
    <w:uiPriority w:val="39"/>
    <w:rPr>
      <w:rFonts w:ascii="Times New Roman" w:hAnsi="Times New Roman" w:eastAsia="宋体" w:cs="Times New Roman"/>
      <w:szCs w:val="24"/>
    </w:rPr>
  </w:style>
  <w:style w:type="paragraph" w:styleId="6">
    <w:name w:val="footnote text"/>
    <w:basedOn w:val="1"/>
    <w:link w:val="17"/>
    <w:unhideWhenUsed/>
    <w:qFormat/>
    <w:uiPriority w:val="99"/>
    <w:pPr>
      <w:snapToGrid w:val="0"/>
      <w:jc w:val="left"/>
    </w:pPr>
    <w:rPr>
      <w:rFonts w:ascii="Calibri" w:hAnsi="Calibri" w:eastAsia="宋体" w:cs="Times New Roman"/>
      <w:sz w:val="18"/>
      <w:szCs w:val="18"/>
    </w:rPr>
  </w:style>
  <w:style w:type="paragraph" w:styleId="7">
    <w:name w:val="toc 2"/>
    <w:basedOn w:val="1"/>
    <w:next w:val="1"/>
    <w:qFormat/>
    <w:uiPriority w:val="39"/>
    <w:pPr>
      <w:ind w:left="420" w:leftChars="200"/>
    </w:pPr>
    <w:rPr>
      <w:rFonts w:ascii="Times New Roman" w:hAnsi="Times New Roman" w:eastAsia="宋体" w:cs="Times New Roman"/>
      <w:szCs w:val="24"/>
    </w:rPr>
  </w:style>
  <w:style w:type="character" w:styleId="10">
    <w:name w:val="page number"/>
    <w:unhideWhenUsed/>
    <w:qFormat/>
    <w:uiPriority w:val="99"/>
  </w:style>
  <w:style w:type="character" w:styleId="11">
    <w:name w:val="Hyperlink"/>
    <w:unhideWhenUsed/>
    <w:qFormat/>
    <w:uiPriority w:val="99"/>
    <w:rPr>
      <w:color w:val="0000FF"/>
      <w:u w:val="single"/>
    </w:rPr>
  </w:style>
  <w:style w:type="character" w:styleId="12">
    <w:name w:val="footnote reference"/>
    <w:unhideWhenUsed/>
    <w:qFormat/>
    <w:uiPriority w:val="99"/>
    <w:rPr>
      <w:vertAlign w:val="superscript"/>
    </w:rPr>
  </w:style>
  <w:style w:type="character" w:customStyle="1" w:styleId="13">
    <w:name w:val="页眉 Char"/>
    <w:basedOn w:val="9"/>
    <w:link w:val="4"/>
    <w:qFormat/>
    <w:uiPriority w:val="99"/>
    <w:rPr>
      <w:rFonts w:ascii="Times New Roman" w:hAnsi="Times New Roman" w:eastAsia="宋体" w:cs="Times New Roman"/>
      <w:sz w:val="18"/>
      <w:szCs w:val="18"/>
    </w:rPr>
  </w:style>
  <w:style w:type="character" w:customStyle="1" w:styleId="14">
    <w:name w:val="页脚 Char"/>
    <w:basedOn w:val="9"/>
    <w:link w:val="3"/>
    <w:qFormat/>
    <w:uiPriority w:val="99"/>
    <w:rPr>
      <w:rFonts w:ascii="Times New Roman" w:hAnsi="Times New Roman" w:eastAsia="宋体" w:cs="Times New Roman"/>
      <w:sz w:val="18"/>
      <w:szCs w:val="18"/>
    </w:rPr>
  </w:style>
  <w:style w:type="character" w:customStyle="1" w:styleId="15">
    <w:name w:val="批注框文本 Char"/>
    <w:basedOn w:val="9"/>
    <w:link w:val="2"/>
    <w:semiHidden/>
    <w:qFormat/>
    <w:uiPriority w:val="99"/>
    <w:rPr>
      <w:sz w:val="18"/>
      <w:szCs w:val="18"/>
    </w:rPr>
  </w:style>
  <w:style w:type="paragraph" w:customStyle="1" w:styleId="16">
    <w:name w:val="Default"/>
    <w:qFormat/>
    <w:uiPriority w:val="0"/>
    <w:pPr>
      <w:widowControl w:val="0"/>
      <w:autoSpaceDE w:val="0"/>
      <w:autoSpaceDN w:val="0"/>
      <w:adjustRightInd w:val="0"/>
    </w:pPr>
    <w:rPr>
      <w:rFonts w:ascii="Times New Roman" w:hAnsi="Times New Roman" w:cs="Times New Roman" w:eastAsiaTheme="minorEastAsia"/>
      <w:color w:val="000000"/>
      <w:kern w:val="0"/>
      <w:sz w:val="24"/>
      <w:szCs w:val="24"/>
      <w:lang w:val="en-US" w:eastAsia="zh-CN" w:bidi="ar-SA"/>
    </w:rPr>
  </w:style>
  <w:style w:type="character" w:customStyle="1" w:styleId="17">
    <w:name w:val="脚注文本 Char"/>
    <w:basedOn w:val="9"/>
    <w:link w:val="6"/>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4425098-CEB7-4813-B90D-AE258FE74940}">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44</Pages>
  <Words>3066</Words>
  <Characters>17480</Characters>
  <Lines>145</Lines>
  <Paragraphs>41</Paragraphs>
  <TotalTime>5</TotalTime>
  <ScaleCrop>false</ScaleCrop>
  <LinksUpToDate>false</LinksUpToDate>
  <CharactersWithSpaces>20505</CharactersWithSpaces>
  <Application>WPS Office_11.1.0.8517_F1E327BC-269C-435d-A152-05C5408002CA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2019-01-15T00:52:00Z</dcterms:created>
  <dc:creator>guest</dc:creator>
  <cp:lastModifiedBy>李博然</cp:lastModifiedBy>
  <cp:lastPrinted>2017-11-09T01:12:00Z</cp:lastPrinted>
  <dcterms:modified xsi:type="dcterms:W3CDTF">2019-03-07T06:06:28Z</dcterms:modified>
  <dc:title>河北省财政厅2019年部门预算信息公开情况说明</dc:title>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2052-11.1.0.8517</vt:lpwstr>
  </property>
</Properties>
</file>