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880" w:firstLineChars="200"/>
        <w:jc w:val="center"/>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石家庄市鹿泉区农业农村局</w:t>
      </w:r>
    </w:p>
    <w:p>
      <w:pPr>
        <w:ind w:firstLine="880" w:firstLineChars="200"/>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w:t>
      </w:r>
      <w:r>
        <w:rPr>
          <w:rFonts w:hint="eastAsia" w:ascii="仿宋" w:hAnsi="仿宋" w:eastAsia="仿宋" w:cs="仿宋"/>
          <w:sz w:val="32"/>
          <w:szCs w:val="32"/>
          <w:lang w:eastAsia="zh-CN"/>
        </w:rPr>
        <w:t>石家庄市鹿泉区农业农村局</w:t>
      </w:r>
      <w:r>
        <w:rPr>
          <w:rFonts w:hint="eastAsia" w:ascii="仿宋" w:hAnsi="仿宋" w:eastAsia="仿宋" w:cs="仿宋"/>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highlight w:val="none"/>
        </w:rPr>
      </w:pPr>
      <w:bookmarkStart w:id="2" w:name="_GoBack"/>
      <w:r>
        <w:rPr>
          <w:rFonts w:hint="eastAsia" w:ascii="Times New Roman" w:hAnsi="Times New Roman" w:eastAsia="方正仿宋_GBK" w:cs="Times New Roman"/>
          <w:b/>
          <w:sz w:val="32"/>
          <w:szCs w:val="32"/>
          <w:highlight w:val="none"/>
        </w:rPr>
        <w:t>部门</w:t>
      </w:r>
      <w:r>
        <w:rPr>
          <w:rFonts w:ascii="Times New Roman" w:hAnsi="Times New Roman" w:eastAsia="方正仿宋_GBK" w:cs="Times New Roman"/>
          <w:b/>
          <w:sz w:val="32"/>
          <w:szCs w:val="32"/>
          <w:highlight w:val="none"/>
        </w:rPr>
        <w:t>职责：</w:t>
      </w:r>
    </w:p>
    <w:bookmarkEnd w:id="2"/>
    <w:p>
      <w:pPr>
        <w:autoSpaceDE w:val="0"/>
        <w:autoSpaceDN w:val="0"/>
        <w:adjustRightInd w:val="0"/>
        <w:ind w:left="198" w:firstLine="640" w:firstLineChars="200"/>
        <w:jc w:val="left"/>
        <w:rPr>
          <w:rFonts w:ascii="方正仿宋_GBK" w:hAnsi="Times New Roman" w:eastAsia="方正仿宋_GBK" w:cs="Times New Roman"/>
          <w:b/>
          <w:sz w:val="32"/>
          <w:szCs w:val="32"/>
        </w:rPr>
      </w:pPr>
      <w:r>
        <w:rPr>
          <w:rFonts w:hint="eastAsia" w:ascii="仿宋_GB2312" w:hAnsi="宋体" w:eastAsia="仿宋_GB2312"/>
          <w:color w:val="000000"/>
          <w:sz w:val="30"/>
          <w:szCs w:val="30"/>
        </w:rPr>
        <w:t>主要负责全区农村经济管理、农牧渔业行政执法、农牧渔业生产全程系列化服务、种植业结构调整、农业机械管理、再生能源管理的区政府职能部门</w:t>
      </w:r>
      <w:r>
        <w:rPr>
          <w:rFonts w:hint="eastAsia" w:ascii="仿宋_GB2312" w:hAnsi="宋体" w:eastAsia="仿宋_GB2312"/>
          <w:color w:val="000000"/>
          <w:sz w:val="30"/>
          <w:szCs w:val="30"/>
          <w:lang w:eastAsia="zh-CN"/>
        </w:rPr>
        <w:t>、制定全区农业综合开发总体规划和实施方案、负责全区农业综合开发项目、指导全区农业产业化经营、农业社会化服务体系建设、组织实施以基础设施提升工程、公共服务改善工程、优势产业发展工程、智力扶贫攻坚工程和“两委”班子带动工程为主要内容的革命老区重点村建设工作。</w:t>
      </w:r>
    </w:p>
    <w:p>
      <w:pPr>
        <w:autoSpaceDE w:val="0"/>
        <w:autoSpaceDN w:val="0"/>
        <w:adjustRightInd w:val="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lang w:val="en-US" w:eastAsia="zh-CN"/>
        </w:rPr>
        <w:t xml:space="preserve">    </w:t>
      </w:r>
      <w:r>
        <w:rPr>
          <w:rFonts w:hint="eastAsia" w:ascii="方正仿宋_GBK" w:hAnsi="Times New Roman" w:eastAsia="方正仿宋_GBK" w:cs="Times New Roman"/>
          <w:b/>
          <w:sz w:val="32"/>
          <w:szCs w:val="32"/>
        </w:rPr>
        <w:t>机构设置：</w:t>
      </w:r>
    </w:p>
    <w:p>
      <w:pPr>
        <w:ind w:left="420" w:firstLine="420"/>
        <w:rPr>
          <w:rFonts w:ascii="仿宋_GB2312" w:hAnsi="宋体" w:eastAsia="仿宋_GB2312"/>
          <w:kern w:val="0"/>
          <w:sz w:val="30"/>
          <w:szCs w:val="30"/>
          <w:highlight w:val="none"/>
        </w:rPr>
      </w:pPr>
      <w:r>
        <w:rPr>
          <w:rFonts w:hint="eastAsia" w:ascii="仿宋_GB2312" w:hAnsi="宋体" w:eastAsia="仿宋_GB2312"/>
          <w:kern w:val="0"/>
          <w:sz w:val="30"/>
          <w:szCs w:val="30"/>
        </w:rPr>
        <w:t>石家庄市鹿泉区农业</w:t>
      </w:r>
      <w:r>
        <w:rPr>
          <w:rFonts w:hint="eastAsia" w:ascii="仿宋_GB2312" w:hAnsi="宋体" w:eastAsia="仿宋_GB2312"/>
          <w:kern w:val="0"/>
          <w:sz w:val="30"/>
          <w:szCs w:val="30"/>
          <w:lang w:eastAsia="zh-CN"/>
        </w:rPr>
        <w:t>农村</w:t>
      </w:r>
      <w:r>
        <w:rPr>
          <w:rFonts w:hint="eastAsia" w:ascii="仿宋_GB2312" w:hAnsi="宋体" w:eastAsia="仿宋_GB2312"/>
          <w:kern w:val="0"/>
          <w:sz w:val="30"/>
          <w:szCs w:val="30"/>
        </w:rPr>
        <w:t>局为财政全额拨款一级预算单位，下属11 个二级预算单位，分别为：石家庄市鹿泉区农业机械化技术推广站、石家庄市鹿泉区农产品综合质检站、石家庄市鹿泉区农业技术推广中心、石家庄市鹿泉区农机安全监理站 、石家庄市鹿泉区大河农业技术推广区域站、石家庄市鹿泉区新能源办公室 、河北省农业广播电视学校石家庄市鹿泉区、石家庄市鹿泉区植物保护检疫站 、石家庄市</w:t>
      </w:r>
      <w:r>
        <w:rPr>
          <w:rFonts w:hint="eastAsia" w:ascii="仿宋_GB2312" w:hAnsi="宋体" w:eastAsia="仿宋_GB2312"/>
          <w:kern w:val="0"/>
          <w:sz w:val="30"/>
          <w:szCs w:val="30"/>
          <w:highlight w:val="none"/>
        </w:rPr>
        <w:t>鹿泉区水产管理处、石家庄市鹿泉区畜禽屠宰定点管理执法队、石家庄市鹿泉区防御中心。</w:t>
      </w:r>
    </w:p>
    <w:tbl>
      <w:tblPr>
        <w:tblStyle w:val="12"/>
        <w:tblW w:w="142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27"/>
        <w:gridCol w:w="1134"/>
        <w:gridCol w:w="1276"/>
        <w:gridCol w:w="2353"/>
        <w:gridCol w:w="709"/>
        <w:gridCol w:w="709"/>
        <w:gridCol w:w="709"/>
        <w:gridCol w:w="709"/>
        <w:gridCol w:w="709"/>
        <w:gridCol w:w="709"/>
        <w:gridCol w:w="709"/>
        <w:gridCol w:w="7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008"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326</w:t>
            </w:r>
            <w:r>
              <w:rPr>
                <w:rFonts w:hint="eastAsia" w:ascii="方正小标宋_GBK" w:eastAsia="方正小标宋_GBK"/>
                <w:sz w:val="24"/>
              </w:rPr>
              <w:t>石家庄市鹿泉区农业</w:t>
            </w:r>
            <w:r>
              <w:rPr>
                <w:rFonts w:hint="eastAsia" w:ascii="方正小标宋_GBK" w:eastAsia="方正小标宋_GBK"/>
                <w:sz w:val="24"/>
                <w:lang w:eastAsia="zh-CN"/>
              </w:rPr>
              <w:t>农村</w:t>
            </w:r>
            <w:r>
              <w:rPr>
                <w:rFonts w:hint="eastAsia" w:ascii="方正小标宋_GBK" w:eastAsia="方正小标宋_GBK"/>
                <w:sz w:val="24"/>
              </w:rPr>
              <w:t>局</w:t>
            </w:r>
          </w:p>
        </w:tc>
        <w:tc>
          <w:tcPr>
            <w:tcW w:w="4254"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小标宋_GBK" w:eastAsia="方正小标宋_GBK"/>
                <w:sz w:val="24"/>
              </w:rPr>
            </w:pPr>
            <w:r>
              <w:rPr>
                <w:rFonts w:hint="eastAsia" w:ascii="方正小标宋_GBK" w:eastAsia="方正小标宋_GBK"/>
                <w:sz w:val="24"/>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2353"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经费保障形式</w:t>
            </w:r>
          </w:p>
        </w:tc>
        <w:tc>
          <w:tcPr>
            <w:tcW w:w="70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车辆实有数</w:t>
            </w:r>
          </w:p>
        </w:tc>
        <w:tc>
          <w:tcPr>
            <w:tcW w:w="141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编制人数</w:t>
            </w:r>
          </w:p>
        </w:tc>
        <w:tc>
          <w:tcPr>
            <w:tcW w:w="141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在职人数</w:t>
            </w:r>
          </w:p>
        </w:tc>
        <w:tc>
          <w:tcPr>
            <w:tcW w:w="2127" w:type="dxa"/>
            <w:gridSpan w:val="3"/>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continue"/>
            <w:shd w:val="clear" w:color="auto" w:fill="auto"/>
            <w:vAlign w:val="center"/>
          </w:tcPr>
          <w:p>
            <w:pPr>
              <w:spacing w:line="300" w:lineRule="exact"/>
              <w:jc w:val="left"/>
              <w:outlineLvl w:val="0"/>
            </w:pPr>
          </w:p>
        </w:tc>
        <w:tc>
          <w:tcPr>
            <w:tcW w:w="1134"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353" w:type="dxa"/>
            <w:vMerge w:val="continue"/>
            <w:shd w:val="clear" w:color="auto" w:fill="auto"/>
            <w:vAlign w:val="center"/>
          </w:tcPr>
          <w:p>
            <w:pPr>
              <w:spacing w:line="300" w:lineRule="exact"/>
              <w:jc w:val="left"/>
              <w:outlineLvl w:val="0"/>
            </w:pPr>
          </w:p>
        </w:tc>
        <w:tc>
          <w:tcPr>
            <w:tcW w:w="709" w:type="dxa"/>
            <w:vMerge w:val="continue"/>
            <w:shd w:val="clear" w:color="auto" w:fill="auto"/>
            <w:vAlign w:val="center"/>
          </w:tcPr>
          <w:p>
            <w:pPr>
              <w:spacing w:line="300" w:lineRule="exact"/>
              <w:jc w:val="left"/>
              <w:outlineLvl w:val="0"/>
            </w:pP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离休</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退休</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w:t>
            </w:r>
            <w:r>
              <w:rPr>
                <w:rFonts w:ascii="方正书宋_GBK" w:eastAsia="方正书宋_GBK"/>
                <w:b/>
              </w:rPr>
              <w:t xml:space="preserve">    </w:t>
            </w:r>
            <w:r>
              <w:rPr>
                <w:rFonts w:hint="eastAsia" w:ascii="方正书宋_GBK" w:eastAsia="方正书宋_GBK"/>
                <w:b/>
              </w:rPr>
              <w:t>计</w:t>
            </w:r>
          </w:p>
        </w:tc>
        <w:tc>
          <w:tcPr>
            <w:tcW w:w="1134" w:type="dxa"/>
            <w:shd w:val="clear" w:color="auto" w:fill="auto"/>
            <w:vAlign w:val="center"/>
          </w:tcPr>
          <w:p>
            <w:pPr>
              <w:spacing w:line="300" w:lineRule="exact"/>
              <w:jc w:val="center"/>
              <w:rPr>
                <w:rFonts w:ascii="方正书宋_GBK" w:eastAsia="方正书宋_GBK"/>
                <w:b/>
              </w:rPr>
            </w:pPr>
          </w:p>
        </w:tc>
        <w:tc>
          <w:tcPr>
            <w:tcW w:w="1276" w:type="dxa"/>
            <w:shd w:val="clear" w:color="auto" w:fill="auto"/>
            <w:vAlign w:val="center"/>
          </w:tcPr>
          <w:p>
            <w:pPr>
              <w:spacing w:line="300" w:lineRule="exact"/>
              <w:jc w:val="center"/>
              <w:rPr>
                <w:rFonts w:ascii="方正书宋_GBK" w:eastAsia="方正书宋_GBK"/>
                <w:b/>
              </w:rPr>
            </w:pPr>
          </w:p>
        </w:tc>
        <w:tc>
          <w:tcPr>
            <w:tcW w:w="2353"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7</w:t>
            </w: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102</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87</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100</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1</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27</w:t>
            </w:r>
          </w:p>
        </w:tc>
        <w:tc>
          <w:tcPr>
            <w:tcW w:w="709" w:type="dxa"/>
            <w:shd w:val="clear" w:color="auto" w:fill="auto"/>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石家庄市鹿泉区农业</w:t>
            </w:r>
            <w:r>
              <w:rPr>
                <w:rFonts w:hint="eastAsia" w:ascii="方正书宋_GBK" w:eastAsia="方正书宋_GBK"/>
                <w:lang w:eastAsia="zh-CN"/>
              </w:rPr>
              <w:t>农村</w:t>
            </w:r>
            <w:r>
              <w:rPr>
                <w:rFonts w:hint="eastAsia" w:ascii="方正书宋_GBK" w:eastAsia="方正书宋_GBK"/>
              </w:rPr>
              <w:t>局</w:t>
            </w:r>
          </w:p>
        </w:tc>
        <w:tc>
          <w:tcPr>
            <w:tcW w:w="1134"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行政</w:t>
            </w:r>
          </w:p>
        </w:tc>
        <w:tc>
          <w:tcPr>
            <w:tcW w:w="1276"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正科级</w:t>
            </w:r>
          </w:p>
        </w:tc>
        <w:tc>
          <w:tcPr>
            <w:tcW w:w="2353"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财政拨款</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87</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27</w:t>
            </w: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石家庄市鹿泉区农产品综合质检站</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其他</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10</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10</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石家庄市鹿泉区新能源服务中心</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副科级</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8</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8</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石家庄市鹿泉区农机安全监理站</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12</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石家庄市鹿泉区植物保护检疫站</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4</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4</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石家庄市鹿泉区农业机械化技术推广站</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其他</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9</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9</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石家庄市鹿泉区农业技术推广中心</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其他</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10</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10</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石家庄市鹿泉区气象灾害防御中心</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3</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3</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河北省农业广播电视学校石家庄市鹿泉区分校</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正科级</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13</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13</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石家庄市鹿泉区大河农业技术推广区域站</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其他</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16</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16</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石家庄市鹿泉区水产管理处</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2</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10</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石家庄市鹿泉区畜禽定点屠宰执法队</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财政性资金定额或定项补助</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2</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6</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6</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bl>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反映本部门当年全部收入。2019年预算收入</w:t>
      </w:r>
      <w:r>
        <w:rPr>
          <w:rFonts w:hint="eastAsia" w:ascii="仿宋" w:hAnsi="仿宋" w:eastAsia="仿宋" w:cs="仿宋"/>
          <w:sz w:val="32"/>
          <w:szCs w:val="32"/>
          <w:lang w:val="en-US" w:eastAsia="zh-CN"/>
        </w:rPr>
        <w:t>9709</w:t>
      </w:r>
      <w:r>
        <w:rPr>
          <w:rFonts w:hint="eastAsia" w:ascii="仿宋" w:hAnsi="仿宋" w:eastAsia="仿宋" w:cs="仿宋"/>
          <w:sz w:val="32"/>
          <w:szCs w:val="32"/>
          <w:highlight w:val="none"/>
          <w:lang w:val="en-US" w:eastAsia="zh-CN"/>
        </w:rPr>
        <w:t>.97</w:t>
      </w:r>
      <w:r>
        <w:rPr>
          <w:rFonts w:hint="eastAsia" w:ascii="仿宋" w:hAnsi="仿宋" w:eastAsia="仿宋" w:cs="仿宋"/>
          <w:sz w:val="32"/>
          <w:szCs w:val="32"/>
        </w:rPr>
        <w:t>万元，其中：一般公共预算收入</w:t>
      </w:r>
      <w:r>
        <w:rPr>
          <w:rFonts w:hint="eastAsia" w:ascii="仿宋" w:hAnsi="仿宋" w:eastAsia="仿宋" w:cs="仿宋"/>
          <w:sz w:val="32"/>
          <w:szCs w:val="32"/>
          <w:lang w:val="en-US" w:eastAsia="zh-CN"/>
        </w:rPr>
        <w:t>7899.47</w:t>
      </w:r>
      <w:r>
        <w:rPr>
          <w:rFonts w:hint="eastAsia" w:ascii="仿宋" w:hAnsi="仿宋" w:eastAsia="仿宋" w:cs="仿宋"/>
          <w:sz w:val="32"/>
          <w:szCs w:val="32"/>
        </w:rPr>
        <w:t>万元，基金预算收入1810.5万元，财政专户核拨收入0万元，其他来源收入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收支预算总表支出栏、基本支出表、项目支出表按经济分类和支出功能分类科目编制，反映</w:t>
      </w:r>
      <w:r>
        <w:rPr>
          <w:rFonts w:hint="eastAsia" w:ascii="仿宋" w:hAnsi="仿宋" w:eastAsia="仿宋" w:cs="仿宋"/>
          <w:sz w:val="32"/>
          <w:szCs w:val="32"/>
          <w:lang w:eastAsia="zh-CN"/>
        </w:rPr>
        <w:t>石家庄市鹿泉区农业农村局</w:t>
      </w:r>
      <w:r>
        <w:rPr>
          <w:rFonts w:hint="eastAsia" w:ascii="仿宋" w:hAnsi="仿宋" w:eastAsia="仿宋" w:cs="仿宋"/>
          <w:sz w:val="32"/>
          <w:szCs w:val="32"/>
        </w:rPr>
        <w:t>年度部门预算中支出预算的总体情况。2019年支出预算</w:t>
      </w:r>
      <w:r>
        <w:rPr>
          <w:rFonts w:hint="eastAsia" w:ascii="仿宋" w:hAnsi="仿宋" w:eastAsia="仿宋" w:cs="仿宋"/>
          <w:sz w:val="32"/>
          <w:szCs w:val="32"/>
          <w:lang w:val="en-US" w:eastAsia="zh-CN"/>
        </w:rPr>
        <w:t>9709</w:t>
      </w:r>
      <w:r>
        <w:rPr>
          <w:rFonts w:hint="eastAsia" w:ascii="仿宋" w:hAnsi="仿宋" w:eastAsia="仿宋" w:cs="仿宋"/>
          <w:sz w:val="32"/>
          <w:szCs w:val="32"/>
          <w:highlight w:val="none"/>
          <w:lang w:val="en-US" w:eastAsia="zh-CN"/>
        </w:rPr>
        <w:t>.97</w:t>
      </w:r>
      <w:r>
        <w:rPr>
          <w:rFonts w:hint="eastAsia" w:ascii="仿宋" w:hAnsi="仿宋" w:eastAsia="仿宋" w:cs="仿宋"/>
          <w:sz w:val="32"/>
          <w:szCs w:val="32"/>
        </w:rPr>
        <w:t>万元，其中基本支出</w:t>
      </w:r>
      <w:r>
        <w:rPr>
          <w:rFonts w:hint="eastAsia" w:ascii="仿宋" w:hAnsi="仿宋" w:eastAsia="仿宋" w:cs="仿宋"/>
          <w:sz w:val="32"/>
          <w:szCs w:val="32"/>
          <w:highlight w:val="none"/>
        </w:rPr>
        <w:t>3250.61</w:t>
      </w:r>
      <w:r>
        <w:rPr>
          <w:rFonts w:hint="eastAsia" w:ascii="仿宋" w:hAnsi="仿宋" w:eastAsia="仿宋" w:cs="仿宋"/>
          <w:sz w:val="32"/>
          <w:szCs w:val="32"/>
        </w:rPr>
        <w:t>万元，包括人员经费2931.34万元和日常公用经费319.27万元；项目支出</w:t>
      </w:r>
      <w:r>
        <w:rPr>
          <w:rFonts w:hint="eastAsia" w:ascii="仿宋" w:hAnsi="仿宋" w:eastAsia="仿宋" w:cs="仿宋"/>
          <w:sz w:val="32"/>
          <w:szCs w:val="32"/>
          <w:highlight w:val="none"/>
        </w:rPr>
        <w:t>6459.36</w:t>
      </w:r>
      <w:r>
        <w:rPr>
          <w:rFonts w:hint="eastAsia" w:ascii="仿宋" w:hAnsi="仿宋" w:eastAsia="仿宋" w:cs="仿宋"/>
          <w:sz w:val="32"/>
          <w:szCs w:val="32"/>
        </w:rPr>
        <w:t>万元，包主要为</w:t>
      </w:r>
      <w:r>
        <w:rPr>
          <w:rFonts w:hint="eastAsia" w:ascii="仿宋" w:hAnsi="仿宋" w:eastAsia="仿宋" w:cs="仿宋"/>
          <w:sz w:val="32"/>
          <w:szCs w:val="32"/>
          <w:lang w:eastAsia="zh-CN"/>
        </w:rPr>
        <w:t>农村公共设施财政补贴专项资金</w:t>
      </w:r>
      <w:r>
        <w:rPr>
          <w:rFonts w:hint="eastAsia" w:ascii="仿宋" w:hAnsi="仿宋" w:eastAsia="仿宋" w:cs="仿宋"/>
          <w:sz w:val="32"/>
          <w:szCs w:val="32"/>
        </w:rPr>
        <w:t>、</w:t>
      </w:r>
      <w:r>
        <w:rPr>
          <w:rFonts w:hint="eastAsia" w:ascii="仿宋" w:hAnsi="仿宋" w:eastAsia="仿宋" w:cs="仿宋"/>
          <w:sz w:val="32"/>
          <w:szCs w:val="32"/>
          <w:lang w:eastAsia="zh-CN"/>
        </w:rPr>
        <w:t>农村厕所改造专项资金、高效清洁燃烧炉具补贴资金、农业综合开发资金</w:t>
      </w:r>
      <w:r>
        <w:rPr>
          <w:rFonts w:hint="eastAsia" w:ascii="仿宋" w:hAnsi="仿宋" w:eastAsia="仿宋" w:cs="仿宋"/>
          <w:sz w:val="32"/>
          <w:szCs w:val="32"/>
        </w:rPr>
        <w:t>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2019年预算收支安排</w:t>
      </w:r>
      <w:r>
        <w:rPr>
          <w:rFonts w:hint="eastAsia" w:ascii="仿宋" w:hAnsi="仿宋" w:eastAsia="仿宋" w:cs="仿宋"/>
          <w:sz w:val="32"/>
          <w:szCs w:val="32"/>
          <w:highlight w:val="none"/>
          <w:lang w:val="en-US" w:eastAsia="zh-CN"/>
        </w:rPr>
        <w:t>9709</w:t>
      </w:r>
      <w:r>
        <w:rPr>
          <w:rFonts w:hint="eastAsia" w:ascii="仿宋" w:hAnsi="仿宋" w:eastAsia="仿宋" w:cs="仿宋"/>
          <w:sz w:val="32"/>
          <w:szCs w:val="32"/>
          <w:highlight w:val="none"/>
          <w:lang w:val="en-US" w:eastAsia="zh-CN"/>
        </w:rPr>
        <w:t>.97</w:t>
      </w:r>
      <w:r>
        <w:rPr>
          <w:rFonts w:hint="eastAsia" w:ascii="仿宋" w:hAnsi="仿宋" w:eastAsia="仿宋" w:cs="仿宋"/>
          <w:sz w:val="32"/>
          <w:szCs w:val="32"/>
          <w:highlight w:val="none"/>
        </w:rPr>
        <w:t>万元，较2018年预算</w:t>
      </w:r>
      <w:r>
        <w:rPr>
          <w:rFonts w:hint="eastAsia" w:ascii="仿宋" w:hAnsi="仿宋" w:eastAsia="仿宋" w:cs="仿宋"/>
          <w:sz w:val="32"/>
          <w:szCs w:val="32"/>
          <w:highlight w:val="none"/>
          <w:lang w:eastAsia="zh-CN"/>
        </w:rPr>
        <w:t>增加</w:t>
      </w:r>
      <w:r>
        <w:rPr>
          <w:rFonts w:hint="eastAsia" w:ascii="仿宋" w:hAnsi="仿宋" w:eastAsia="仿宋" w:cs="仿宋"/>
          <w:sz w:val="32"/>
          <w:szCs w:val="32"/>
          <w:highlight w:val="none"/>
          <w:lang w:val="en-US" w:eastAsia="zh-CN"/>
        </w:rPr>
        <w:t>2248.59</w:t>
      </w:r>
      <w:r>
        <w:rPr>
          <w:rFonts w:hint="eastAsia" w:ascii="仿宋" w:hAnsi="仿宋" w:eastAsia="仿宋" w:cs="仿宋"/>
          <w:sz w:val="32"/>
          <w:szCs w:val="32"/>
          <w:highlight w:val="none"/>
        </w:rPr>
        <w:t>万元，其中：基本支出</w:t>
      </w:r>
      <w:r>
        <w:rPr>
          <w:rFonts w:hint="eastAsia" w:ascii="仿宋" w:hAnsi="仿宋" w:eastAsia="仿宋" w:cs="仿宋"/>
          <w:sz w:val="32"/>
          <w:szCs w:val="32"/>
          <w:highlight w:val="none"/>
          <w:lang w:eastAsia="zh-CN"/>
        </w:rPr>
        <w:t>增加</w:t>
      </w:r>
      <w:r>
        <w:rPr>
          <w:rFonts w:hint="eastAsia" w:ascii="仿宋" w:hAnsi="仿宋" w:eastAsia="仿宋" w:cs="仿宋"/>
          <w:sz w:val="32"/>
          <w:szCs w:val="32"/>
          <w:highlight w:val="none"/>
          <w:lang w:val="en-US" w:eastAsia="zh-CN"/>
        </w:rPr>
        <w:t>397.97</w:t>
      </w:r>
      <w:r>
        <w:rPr>
          <w:rFonts w:hint="eastAsia" w:ascii="仿宋" w:hAnsi="仿宋" w:eastAsia="仿宋" w:cs="仿宋"/>
          <w:sz w:val="32"/>
          <w:szCs w:val="32"/>
          <w:highlight w:val="none"/>
        </w:rPr>
        <w:t>万元，主要为</w:t>
      </w:r>
      <w:r>
        <w:rPr>
          <w:rFonts w:hint="eastAsia" w:ascii="仿宋" w:hAnsi="仿宋" w:eastAsia="仿宋" w:cs="仿宋"/>
          <w:sz w:val="32"/>
          <w:szCs w:val="32"/>
          <w:highlight w:val="none"/>
          <w:lang w:eastAsia="zh-CN"/>
        </w:rPr>
        <w:t>机构合并，人员增加</w:t>
      </w:r>
      <w:r>
        <w:rPr>
          <w:rFonts w:hint="eastAsia" w:ascii="仿宋" w:hAnsi="仿宋" w:eastAsia="仿宋" w:cs="仿宋"/>
          <w:sz w:val="32"/>
          <w:szCs w:val="32"/>
          <w:highlight w:val="none"/>
        </w:rPr>
        <w:t>；项目支出</w:t>
      </w:r>
      <w:r>
        <w:rPr>
          <w:rFonts w:hint="eastAsia" w:ascii="仿宋" w:hAnsi="仿宋" w:eastAsia="仿宋" w:cs="仿宋"/>
          <w:sz w:val="32"/>
          <w:szCs w:val="32"/>
          <w:highlight w:val="none"/>
          <w:lang w:eastAsia="zh-CN"/>
        </w:rPr>
        <w:t>增加</w:t>
      </w:r>
      <w:r>
        <w:rPr>
          <w:rFonts w:hint="eastAsia" w:ascii="仿宋" w:hAnsi="仿宋" w:eastAsia="仿宋" w:cs="仿宋"/>
          <w:sz w:val="32"/>
          <w:szCs w:val="32"/>
          <w:highlight w:val="none"/>
          <w:lang w:val="en-US" w:eastAsia="zh-CN"/>
        </w:rPr>
        <w:t>1850.62</w:t>
      </w:r>
      <w:r>
        <w:rPr>
          <w:rFonts w:hint="eastAsia" w:ascii="仿宋" w:hAnsi="仿宋" w:eastAsia="仿宋" w:cs="仿宋"/>
          <w:sz w:val="32"/>
          <w:szCs w:val="32"/>
          <w:highlight w:val="none"/>
        </w:rPr>
        <w:t>万元，主要为</w:t>
      </w:r>
      <w:r>
        <w:rPr>
          <w:rFonts w:hint="eastAsia" w:ascii="仿宋" w:hAnsi="仿宋" w:eastAsia="仿宋" w:cs="仿宋"/>
          <w:sz w:val="32"/>
          <w:szCs w:val="32"/>
          <w:highlight w:val="none"/>
          <w:lang w:eastAsia="zh-CN"/>
        </w:rPr>
        <w:t>机构合并，项目增加。</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三、机关运行经费安排情况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w:t>
      </w:r>
      <w:r>
        <w:rPr>
          <w:rFonts w:hint="eastAsia" w:ascii="仿宋" w:hAnsi="仿宋" w:eastAsia="仿宋" w:cs="仿宋"/>
          <w:sz w:val="32"/>
          <w:szCs w:val="32"/>
          <w:lang w:eastAsia="zh-CN"/>
        </w:rPr>
        <w:t>局</w:t>
      </w:r>
      <w:r>
        <w:rPr>
          <w:rFonts w:hint="eastAsia" w:ascii="仿宋" w:hAnsi="仿宋" w:eastAsia="仿宋" w:cs="仿宋"/>
          <w:sz w:val="32"/>
          <w:szCs w:val="32"/>
        </w:rPr>
        <w:t>机关运行经费共计安排</w:t>
      </w:r>
      <w:r>
        <w:rPr>
          <w:rFonts w:hint="eastAsia" w:ascii="仿宋" w:hAnsi="仿宋" w:eastAsia="仿宋" w:cs="仿宋"/>
          <w:sz w:val="32"/>
          <w:szCs w:val="32"/>
          <w:lang w:val="en-US" w:eastAsia="zh-CN"/>
        </w:rPr>
        <w:t>319.27</w:t>
      </w:r>
      <w:r>
        <w:rPr>
          <w:rFonts w:hint="eastAsia" w:ascii="仿宋" w:hAnsi="仿宋" w:eastAsia="仿宋" w:cs="仿宋"/>
          <w:sz w:val="32"/>
          <w:szCs w:val="32"/>
        </w:rPr>
        <w:t>万元，主要用于</w:t>
      </w:r>
      <w:r>
        <w:rPr>
          <w:rFonts w:hint="eastAsia" w:ascii="仿宋" w:hAnsi="仿宋" w:eastAsia="仿宋" w:cs="仿宋"/>
          <w:sz w:val="32"/>
          <w:szCs w:val="32"/>
          <w:lang w:eastAsia="zh-CN"/>
        </w:rPr>
        <w:t>单位</w:t>
      </w:r>
      <w:r>
        <w:rPr>
          <w:rFonts w:hint="eastAsia" w:ascii="仿宋" w:hAnsi="仿宋" w:eastAsia="仿宋" w:cs="仿宋"/>
          <w:sz w:val="32"/>
          <w:szCs w:val="32"/>
        </w:rPr>
        <w:t>日常维修、办公用房水电费、办公用房取暖费、办公用房物业管理费等日常运行支出。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w:t>
      </w:r>
      <w:r>
        <w:rPr>
          <w:rFonts w:hint="eastAsia" w:ascii="仿宋" w:hAnsi="仿宋" w:eastAsia="仿宋" w:cs="仿宋"/>
          <w:sz w:val="32"/>
          <w:szCs w:val="32"/>
          <w:lang w:eastAsia="zh-CN"/>
        </w:rPr>
        <w:t>部门</w:t>
      </w:r>
      <w:r>
        <w:rPr>
          <w:rFonts w:hint="eastAsia" w:ascii="仿宋" w:hAnsi="仿宋" w:eastAsia="仿宋" w:cs="仿宋"/>
          <w:sz w:val="32"/>
          <w:szCs w:val="32"/>
        </w:rPr>
        <w:t>财政拨款“三公”经费预算安排</w:t>
      </w:r>
      <w:r>
        <w:rPr>
          <w:rFonts w:hint="eastAsia" w:ascii="仿宋" w:hAnsi="仿宋" w:eastAsia="仿宋" w:cs="仿宋"/>
          <w:sz w:val="32"/>
          <w:szCs w:val="32"/>
          <w:lang w:val="en-US" w:eastAsia="zh-CN"/>
        </w:rPr>
        <w:t>44.9</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万元；公务用车购置及运维费</w:t>
      </w:r>
      <w:r>
        <w:rPr>
          <w:rFonts w:hint="eastAsia" w:ascii="仿宋" w:hAnsi="仿宋" w:eastAsia="仿宋" w:cs="仿宋"/>
          <w:sz w:val="32"/>
          <w:szCs w:val="32"/>
          <w:lang w:val="en-US" w:eastAsia="zh-CN"/>
        </w:rPr>
        <w:t>43.2</w:t>
      </w:r>
      <w:r>
        <w:rPr>
          <w:rFonts w:hint="eastAsia" w:ascii="仿宋" w:hAnsi="仿宋" w:eastAsia="仿宋" w:cs="仿宋"/>
          <w:sz w:val="32"/>
          <w:szCs w:val="32"/>
        </w:rPr>
        <w:t>万元（其中：公务用车购置费为0万元，公务用车运维费</w:t>
      </w:r>
      <w:r>
        <w:rPr>
          <w:rFonts w:hint="eastAsia" w:ascii="仿宋" w:hAnsi="仿宋" w:eastAsia="仿宋" w:cs="仿宋"/>
          <w:sz w:val="32"/>
          <w:szCs w:val="32"/>
          <w:lang w:val="en-US" w:eastAsia="zh-CN"/>
        </w:rPr>
        <w:t>43.2</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1.7</w:t>
      </w:r>
      <w:r>
        <w:rPr>
          <w:rFonts w:hint="eastAsia" w:ascii="仿宋" w:hAnsi="仿宋" w:eastAsia="仿宋" w:cs="仿宋"/>
          <w:sz w:val="32"/>
          <w:szCs w:val="32"/>
        </w:rPr>
        <w:t>万元。与2018年相比</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2.7万元</w:t>
      </w:r>
      <w:r>
        <w:rPr>
          <w:rFonts w:hint="eastAsia" w:ascii="仿宋" w:hAnsi="仿宋" w:eastAsia="仿宋" w:cs="仿宋"/>
          <w:sz w:val="32"/>
          <w:szCs w:val="32"/>
        </w:rPr>
        <w:t>，</w:t>
      </w:r>
      <w:r>
        <w:rPr>
          <w:rFonts w:hint="eastAsia" w:ascii="仿宋" w:hAnsi="仿宋" w:eastAsia="仿宋" w:cs="仿宋"/>
          <w:sz w:val="32"/>
          <w:szCs w:val="32"/>
          <w:lang w:eastAsia="zh-CN"/>
        </w:rPr>
        <w:t>增加</w:t>
      </w:r>
      <w:r>
        <w:rPr>
          <w:rFonts w:hint="eastAsia" w:ascii="仿宋" w:hAnsi="仿宋" w:eastAsia="仿宋" w:cs="仿宋"/>
          <w:sz w:val="32"/>
          <w:szCs w:val="32"/>
        </w:rPr>
        <w:t>的主要原因是：</w:t>
      </w:r>
      <w:r>
        <w:rPr>
          <w:rFonts w:hint="eastAsia" w:ascii="仿宋" w:hAnsi="仿宋" w:eastAsia="仿宋" w:cs="仿宋"/>
          <w:sz w:val="32"/>
          <w:szCs w:val="32"/>
          <w:lang w:eastAsia="zh-CN"/>
        </w:rPr>
        <w:t>机构改革，单位合并，公务用车增加一辆</w:t>
      </w:r>
      <w:r>
        <w:rPr>
          <w:rFonts w:hint="eastAsia" w:ascii="仿宋" w:hAnsi="仿宋" w:eastAsia="仿宋" w:cs="仿宋"/>
          <w:sz w:val="32"/>
          <w:szCs w:val="32"/>
        </w:rPr>
        <w:t>。</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2019年，我局将按照高产、优质、高效、生态、安全的要求，以转变农业发展方式为主线，以促进专业化、标准化、规模化、集约化为重点，深入推进农业供给侧结构性改革，加快现代农业发展，稳步实现农业增效、农民增收。</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抓好园区建设管理，为省旅发大会增彩添亮。做好园区动态调控，拓展功能、提高品味、打造精品，再争创市级园区2个，争取顺利挂牌。坚持“引进来”和“走出去”有机结合，使我区农业园区多出精品和亮点，保持健康持续发展。搞好园区的推介宣传。深层次挖掘旅游特色和内涵，搞好品牌形象设计，规划精品旅游线路，推荐特色农产品，借势旅发大会的东风，做好休闲农业的宣传推介。</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2、优化农业产业结构。实施好农业供给侧结构性改革三年行动计划,加快推进粮食生产功能区划定，组织好农机深松、粮改饲等项目的实施，稳定粮食综合生产能力。做大做强君乐宝产业链条经济，使奶牛场管理向牧场化、智能化转变，从根本上保障生鲜乳质量安全。抓好高产奶牛胚胎移植、美丽生态牧场示范创建等项目的实施，大力发展生态畜牧业。                    </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3、加强农业废弃物资源化利用。以就地就近用于农村能源和农用有机肥为主要使用方向，以规模养殖场为重点，推行源头减量、严格过程控制、强化末端利用，落实主体责任，加快畜禽养殖粪污处理设施建设，推进养殖废弃物资源化利用，构建种养结合、农牧循环长效机制，在环境保护和循环经济上取得新突破，到2019年底，全区所有畜禽规模养殖场全部配套建设粪污储存、处理、利用设施，粪污处理设施装备配套率达到100%；</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4、优化农产品质量安全监管。进一步完善农产品质量安全追溯体系和检验检测体系建设，让人民群众“买得安心，吃得放心”。大力推广农业标准化生产，扩大食用农产品合格证制度试点，把好农产品准出关，农产品质量监测合格率保持在98.5%以上。</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5、继续深化农村改革。进一步加强农村财务规范化管理，2018年双委换届村会计更换比例达到四分之一。建立、健全农村资产、资源管理制度，并做到制度上墙。进一步健全土地流转管理制度，积极引导土地向农民合作社、家庭农场、种粮大户等新型农业经营主体规范有序流转，培育一批新型农业经营主体示范典型，协助符合条件的主体申报规模经营主体扶持资金。</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6、拓展农产品销售渠道。鼓励农产品生产企业（种养大户）进行“农超对接”“农批对接”“农餐对接”“农旅对接”，建立直接产销关系。组织区农产品生产大户、专业合作社、农业园区参加大型农产品促销会，拓宽农产品销售渠道。充分利用益农服务社和信息应用示范点，线上线下结合，积极帮助农户发布农产品销售和供求信息。</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以中央、省市《乡村振兴战略规划（2018—2022年）》为遵循，按照《鹿泉区关于深入推进乡村振兴战略的实施方案》要求，加快推进产业、组织、生态、文化、人才五个振兴。</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按照“全域启动，因村施策，分类推进”的工作路径，加快农村集体产权制度改革，年内完成208个改革任务。严格集体资产发包管理，确保全区村级集体资产发包书面合同签订率达到100%，乡镇鉴证（司法公证）率达到100%，合同履约率90%以上。进一步消灭集体经济收入不足2万元的空白村和集体经济收入不足5万元的薄弱村。</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深入推进西山美丽乡村旅游度假区建设，依托西部长青景区，推动水峪、梁庄、下聂庄等6个村发展特色民宿、农家乐、采摘园等乡村旅游新业态。重点推进岸下石窑小镇、西部长青等民宿项目，打造“西山民宿”品牌。加快黄岩等中心村建设，尽快完成中心村建设任务。</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用足用好省级农村人居环境项目专项资金，改善农村人居环境，建设美丽宜居乡村。进一步做好生活垃圾分类试点工作，扩大垃圾分类试点范围。深入推进农村厕所改造，对符合条件的村庄建设公厕，督导村民活动中心、农村中小学、饭店等进行旱厕改造，彻底消灭连茅圈和旱厕。</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11、</w:t>
      </w:r>
      <w:r>
        <w:rPr>
          <w:rFonts w:hint="eastAsia" w:ascii="仿宋" w:hAnsi="仿宋" w:eastAsia="仿宋" w:cs="仿宋"/>
          <w:sz w:val="32"/>
          <w:szCs w:val="32"/>
        </w:rPr>
        <w:t>用好农业产业化增信基金，积极培养申报省级产业化龙头企业，深入开展农业产业化联合体国家、省、市、区四级联创活动，培育中以农科小镇、西部长青、响当当农业科技公司发展壮大，支持西部长青、上寨农谷农科小镇申报山区综合开发现代农业示范区。</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12、</w:t>
      </w:r>
      <w:r>
        <w:rPr>
          <w:rFonts w:hint="eastAsia" w:ascii="仿宋" w:hAnsi="仿宋" w:eastAsia="仿宋" w:cs="仿宋"/>
          <w:sz w:val="32"/>
          <w:szCs w:val="32"/>
        </w:rPr>
        <w:t>加大革命老区重点村建设力度，进一步解决革命老区村行路难、吃水难、上学难、看病难、增收难等“五难”问题。</w:t>
      </w:r>
    </w:p>
    <w:p>
      <w:pPr>
        <w:ind w:firstLine="640"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ind w:firstLine="560"/>
        <w:rPr>
          <w:rFonts w:hint="eastAsia" w:ascii="仿宋" w:hAnsi="仿宋" w:eastAsia="仿宋" w:cs="仿宋"/>
          <w:sz w:val="32"/>
          <w:szCs w:val="32"/>
        </w:rPr>
      </w:pPr>
      <w:r>
        <w:rPr>
          <w:rFonts w:hint="eastAsia" w:ascii="仿宋" w:hAnsi="仿宋" w:eastAsia="仿宋" w:cs="仿宋"/>
          <w:sz w:val="32"/>
          <w:szCs w:val="32"/>
        </w:rPr>
        <w:t>（一）支持农牧渔业产业化</w:t>
      </w:r>
    </w:p>
    <w:p>
      <w:pPr>
        <w:ind w:firstLine="560"/>
        <w:rPr>
          <w:rFonts w:hint="eastAsia" w:ascii="仿宋" w:hAnsi="仿宋" w:eastAsia="仿宋" w:cs="仿宋"/>
          <w:sz w:val="32"/>
          <w:szCs w:val="32"/>
        </w:rPr>
      </w:pPr>
      <w:r>
        <w:rPr>
          <w:rFonts w:hint="eastAsia" w:ascii="仿宋" w:hAnsi="仿宋" w:eastAsia="仿宋" w:cs="仿宋"/>
          <w:sz w:val="32"/>
          <w:szCs w:val="32"/>
        </w:rPr>
        <w:t>拉伸农牧渔业产业链条，提升农产品水产品附加值，增加农民渔民收入，创造县域经济发展新增长点。绩效目标包括: 提高农产品产量、提高蔬菜品质；推动园区农业基础设施、科技进步、质量安全、生态环保水平显著提升，扶持休闲渔业示范基地创建和渔业互保奖补项目；</w:t>
      </w:r>
    </w:p>
    <w:p>
      <w:pPr>
        <w:ind w:firstLine="560"/>
        <w:rPr>
          <w:rFonts w:hint="eastAsia" w:ascii="仿宋" w:hAnsi="仿宋" w:eastAsia="仿宋" w:cs="仿宋"/>
          <w:sz w:val="32"/>
          <w:szCs w:val="32"/>
        </w:rPr>
      </w:pPr>
      <w:r>
        <w:rPr>
          <w:rFonts w:hint="eastAsia" w:ascii="仿宋" w:hAnsi="仿宋" w:eastAsia="仿宋" w:cs="仿宋"/>
          <w:sz w:val="32"/>
          <w:szCs w:val="32"/>
        </w:rPr>
        <w:t>（二）扶持农畜产品、水产品生产</w:t>
      </w:r>
    </w:p>
    <w:p>
      <w:pPr>
        <w:ind w:firstLine="560"/>
        <w:rPr>
          <w:rFonts w:hint="eastAsia" w:ascii="仿宋" w:hAnsi="仿宋" w:eastAsia="仿宋" w:cs="仿宋"/>
          <w:sz w:val="32"/>
          <w:szCs w:val="32"/>
        </w:rPr>
      </w:pPr>
      <w:r>
        <w:rPr>
          <w:rFonts w:hint="eastAsia" w:ascii="仿宋" w:hAnsi="仿宋" w:eastAsia="仿宋" w:cs="仿宋"/>
          <w:sz w:val="32"/>
          <w:szCs w:val="32"/>
        </w:rPr>
        <w:t>提高农牧渔产品产量和质量，优化产业结构提高经济效益，增加农民收入。绩效目标包括: 为保证肉蛋奶等产品产量对畜牧园区建设、龙头企业、养殖合作社等给予补贴；提高乳粉用奶源基地建设水平和奶源质量；优化畜牧产业空间布局，改善生态环境，推动畜牧业转型升级、持续发展；完成粮改饲种植面积和收贮量，提高种植户收入，降低养殖户饲喂成本；提高优质水产良种及苗种的生产供应能力，促进特色、主导养殖品种的良种覆盖率提高，增加渔民收入；对收集的病死畜禽进行补助。</w:t>
      </w:r>
    </w:p>
    <w:p>
      <w:pPr>
        <w:ind w:firstLine="560"/>
        <w:rPr>
          <w:rFonts w:hint="eastAsia" w:ascii="仿宋" w:hAnsi="仿宋" w:eastAsia="仿宋" w:cs="仿宋"/>
          <w:sz w:val="32"/>
          <w:szCs w:val="32"/>
        </w:rPr>
      </w:pPr>
      <w:r>
        <w:rPr>
          <w:rFonts w:hint="eastAsia" w:ascii="仿宋" w:hAnsi="仿宋" w:eastAsia="仿宋" w:cs="仿宋"/>
          <w:sz w:val="32"/>
          <w:szCs w:val="32"/>
        </w:rPr>
        <w:t>（三）农业资源保护和生态建设</w:t>
      </w:r>
    </w:p>
    <w:p>
      <w:pPr>
        <w:ind w:firstLine="560"/>
        <w:rPr>
          <w:rFonts w:hint="eastAsia" w:ascii="仿宋" w:hAnsi="仿宋" w:eastAsia="仿宋" w:cs="仿宋"/>
          <w:sz w:val="32"/>
          <w:szCs w:val="32"/>
        </w:rPr>
      </w:pPr>
      <w:r>
        <w:rPr>
          <w:rFonts w:hint="eastAsia" w:ascii="仿宋" w:hAnsi="仿宋" w:eastAsia="仿宋" w:cs="仿宋"/>
          <w:sz w:val="32"/>
          <w:szCs w:val="32"/>
        </w:rPr>
        <w:t>建设生态农业，改善农村环境，实现农业可持续发展。绩效目标包括: 实现清洁能源的高效利用，减少大气污染排放，改善农村环境；开展秸秆综合利用，减少农作物秸秆焚烧，改善城乡居民生活条件；改善生态环境,促进畜禽养殖布局优化；土壤样品采集化验；进行耕地质量等级变更评价、耕地资源承载能力评价；推广配方肥技术；实现农作物秸秆的高效能源化利用，减少大气污染排放，改善农村环境；为保证乳粉业等产品产量对企业、养殖合作社等给予补贴。</w:t>
      </w:r>
    </w:p>
    <w:p>
      <w:pPr>
        <w:ind w:firstLine="560"/>
        <w:rPr>
          <w:rFonts w:hint="eastAsia" w:ascii="仿宋" w:hAnsi="仿宋" w:eastAsia="仿宋" w:cs="仿宋"/>
          <w:sz w:val="32"/>
          <w:szCs w:val="32"/>
        </w:rPr>
      </w:pPr>
      <w:r>
        <w:rPr>
          <w:rFonts w:hint="eastAsia" w:ascii="仿宋" w:hAnsi="仿宋" w:eastAsia="仿宋" w:cs="仿宋"/>
          <w:sz w:val="32"/>
          <w:szCs w:val="32"/>
        </w:rPr>
        <w:t>（四）农牧渔业科技支撑和公共服务</w:t>
      </w:r>
    </w:p>
    <w:p>
      <w:pPr>
        <w:ind w:firstLine="560"/>
        <w:rPr>
          <w:rFonts w:hint="eastAsia" w:ascii="仿宋" w:hAnsi="仿宋" w:eastAsia="仿宋" w:cs="仿宋"/>
          <w:sz w:val="32"/>
          <w:szCs w:val="32"/>
        </w:rPr>
      </w:pPr>
      <w:r>
        <w:rPr>
          <w:rFonts w:hint="eastAsia" w:ascii="仿宋" w:hAnsi="仿宋" w:eastAsia="仿宋" w:cs="仿宋"/>
          <w:sz w:val="32"/>
          <w:szCs w:val="32"/>
        </w:rPr>
        <w:t>提高农牧渔业机械化水平，建立健全农牧渔业科技服务和防灾减灾体系，推动农牧渔业生产向现代农业发展。绩效目标包括: 开展耕地深松作业，通过实施农机深松作业，有效节约水资源，提高肥料利用率；落实农机购置补贴政策，开展农机新机具、新技术宣传培训，加强主要农作物生产关键环节所需的、大马力、高性能、绿色环保型农机装备推广力度；加强农业生产全程机械化作业推广力度；加强农产品质量安全监管体系建设，指导农产品检验检测体系建设和机构考核，依法实施符合安全标准的农产品认证和监督管理；组织开展农产品质量安全的监督检查。加强水产品质量安全监管体系建设，开展水产品质量安全监督检查，组织开展无公害水产品产地认定产品认证和监督管理；农业信息技术和产品研发、引进新技术、新品种、新成果、提高农业生产经营效益，带领周围农民增收致富；电子商务试点村建设、资料印刷、网上店铺开展网络营销和利用信息带动农民增收；以夯实粮食作物发展后劲提升蔬菜品质为核心，进一步加大新品种新技术的引进示范力度；加大防灾减灾新技术推广，引进新技术示范，开展新型肥料试验；开展植物防疫检疫及农作物病虫害监测预警，发布病虫情报，建立完善植物防疫和检疫体系。指导组织开展社会化防治；落实重大动物防疫政策，建立完善防疫体系，组织乡、村开展动物疫病防控工作，做好疫情诊断并组织扑疫，完善应急储备工作。</w:t>
      </w:r>
    </w:p>
    <w:p>
      <w:pPr>
        <w:ind w:firstLine="560"/>
        <w:rPr>
          <w:rFonts w:hint="eastAsia" w:ascii="仿宋" w:hAnsi="仿宋" w:eastAsia="仿宋" w:cs="仿宋"/>
          <w:sz w:val="32"/>
          <w:szCs w:val="32"/>
        </w:rPr>
      </w:pPr>
      <w:r>
        <w:rPr>
          <w:rFonts w:hint="eastAsia" w:ascii="仿宋" w:hAnsi="仿宋" w:eastAsia="仿宋" w:cs="仿宋"/>
          <w:sz w:val="32"/>
          <w:szCs w:val="32"/>
        </w:rPr>
        <w:t>（五）完善农村经营管理体制</w:t>
      </w:r>
    </w:p>
    <w:p>
      <w:pPr>
        <w:ind w:firstLine="560"/>
        <w:rPr>
          <w:rFonts w:hint="eastAsia" w:ascii="仿宋" w:hAnsi="仿宋" w:eastAsia="仿宋" w:cs="仿宋"/>
          <w:sz w:val="32"/>
          <w:szCs w:val="32"/>
        </w:rPr>
      </w:pPr>
      <w:r>
        <w:rPr>
          <w:rFonts w:hint="eastAsia" w:ascii="仿宋" w:hAnsi="仿宋" w:eastAsia="仿宋" w:cs="仿宋"/>
          <w:sz w:val="32"/>
          <w:szCs w:val="32"/>
        </w:rPr>
        <w:t>规范流转行为，优化资源配置，促进农民专业合作经济组织健康发展，加快新农村建设和城镇化进程。绩效目标包括：进一步完善农村土地承包关系，保护农民利益，促进规模化经营；提高农村财务人员、合作社财务人员业务素质；完成全区村级清产核资工作；促进土地加速流转；解决农村土地承包纠纷；促进新型农业经营主体发展。</w:t>
      </w:r>
    </w:p>
    <w:p>
      <w:pPr>
        <w:ind w:firstLine="560"/>
        <w:rPr>
          <w:rFonts w:hint="eastAsia" w:ascii="仿宋" w:hAnsi="仿宋" w:eastAsia="仿宋" w:cs="仿宋"/>
          <w:sz w:val="32"/>
          <w:szCs w:val="32"/>
        </w:rPr>
      </w:pPr>
      <w:r>
        <w:rPr>
          <w:rFonts w:hint="eastAsia" w:ascii="仿宋" w:hAnsi="仿宋" w:eastAsia="仿宋" w:cs="仿宋"/>
          <w:sz w:val="32"/>
          <w:szCs w:val="32"/>
        </w:rPr>
        <w:t>（六）农牧渔业行政综合执法规范化建设</w:t>
      </w:r>
    </w:p>
    <w:p>
      <w:pPr>
        <w:ind w:firstLine="560"/>
        <w:rPr>
          <w:rFonts w:hint="eastAsia" w:ascii="仿宋" w:hAnsi="仿宋" w:eastAsia="仿宋" w:cs="仿宋"/>
          <w:sz w:val="32"/>
          <w:szCs w:val="32"/>
        </w:rPr>
      </w:pPr>
      <w:r>
        <w:rPr>
          <w:rFonts w:hint="eastAsia" w:ascii="仿宋" w:hAnsi="仿宋" w:eastAsia="仿宋" w:cs="仿宋"/>
          <w:sz w:val="32"/>
          <w:szCs w:val="32"/>
        </w:rPr>
        <w:t>开展农业行政综合执法体系建设，提升农业行政综合执法能力，提高农业行政综合执法效能。查处农资违法违规案件，维护农资市场秩序。绩效目标包括: 保障动物及动物产品安全；完善执法规范化建设相关制度，开展法律法规宣传，加强水产养殖户信息和捕捞渔船信息管理；查处违法行为，杜绝辖区内使用国家禁用药物或者淘汰的饲料、饲料添加剂的违法行为；保证出厂肉品质量安全。严厉打击私屠滥宰行为，保证我区肉产品质量安全。对畜禽屠宰从业人员全员培训并考核合格；加强农药执法监管力度，规范农资经营，提高执法水平。</w:t>
      </w:r>
    </w:p>
    <w:p>
      <w:pPr>
        <w:ind w:firstLine="56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七</w:t>
      </w:r>
      <w:r>
        <w:rPr>
          <w:rFonts w:hint="eastAsia" w:ascii="仿宋" w:hAnsi="仿宋" w:eastAsia="仿宋" w:cs="仿宋"/>
          <w:sz w:val="32"/>
          <w:szCs w:val="32"/>
        </w:rPr>
        <w:t>）推进新农村建设</w:t>
      </w:r>
    </w:p>
    <w:p>
      <w:pPr>
        <w:ind w:firstLine="560"/>
        <w:rPr>
          <w:rFonts w:hint="eastAsia" w:ascii="仿宋" w:hAnsi="仿宋" w:eastAsia="仿宋" w:cs="仿宋"/>
          <w:sz w:val="32"/>
          <w:szCs w:val="32"/>
        </w:rPr>
      </w:pPr>
      <w:r>
        <w:rPr>
          <w:rFonts w:hint="eastAsia" w:ascii="仿宋" w:hAnsi="仿宋" w:eastAsia="仿宋" w:cs="仿宋"/>
          <w:sz w:val="32"/>
          <w:szCs w:val="32"/>
        </w:rPr>
        <w:t>实施美丽乡村、中心村、革命老区重点村建设，推进社会主义新农村建设和全面建成小康社会进程。</w:t>
      </w:r>
      <w:r>
        <w:rPr>
          <w:rFonts w:hint="eastAsia" w:ascii="仿宋" w:hAnsi="仿宋" w:eastAsia="仿宋" w:cs="仿宋"/>
          <w:sz w:val="32"/>
          <w:szCs w:val="32"/>
          <w:lang w:eastAsia="zh-CN"/>
        </w:rPr>
        <w:t>绩效目标包括：突出重点，因地制宜，按照分期分批推进的要求，每年选定一批重点村实施美丽乡村建设12个专项行动；通过经营美丽乡村，将美丽乡村的品牌效应、优美环境转化为竞争力和生产力，走出一条建设“美丽”与经营“美丽”相统一，以美丽乡村带动农村发展、促进农民增收的新路子；按照三年建设周期，建设一批多种类型、有示范意义的新民居中心村；通过实施基础设施提升、公共服务改善、优势产业发展、智力扶贫攻坚和两委班子带动等工程，革命老区重点村生产生活条件明显改善，环境面貌明显提升，行路难、吃水难、上学难、看病难和增收难等问题得到有效解决；通过开展农村人居环境整治，推进农村生活垃圾治理、开展厕所粪污治理、农村生活污水治理、提升村容村貌、加强村庄规划管理、完善建设和管护机制。加快社会主义新农村建设进程改善农村环境面貌，提升农民生产生活条件；通过大力发展民宿经济,使鹿泉真正成为人们心目中的美丽环境、美丽经济、美好生活的乡愁旅游目的地。</w:t>
      </w:r>
    </w:p>
    <w:p>
      <w:pPr>
        <w:ind w:firstLine="56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八</w:t>
      </w:r>
      <w:r>
        <w:rPr>
          <w:rFonts w:hint="eastAsia" w:ascii="仿宋" w:hAnsi="仿宋" w:eastAsia="仿宋" w:cs="仿宋"/>
          <w:sz w:val="32"/>
          <w:szCs w:val="32"/>
        </w:rPr>
        <w:t>）</w:t>
      </w:r>
      <w:r>
        <w:rPr>
          <w:rFonts w:hint="eastAsia" w:ascii="仿宋" w:hAnsi="仿宋" w:eastAsia="仿宋" w:cs="仿宋"/>
          <w:sz w:val="32"/>
          <w:szCs w:val="32"/>
          <w:lang w:eastAsia="zh-CN"/>
        </w:rPr>
        <w:t>城乡垃圾处理</w:t>
      </w:r>
    </w:p>
    <w:p>
      <w:pPr>
        <w:ind w:firstLine="560"/>
        <w:rPr>
          <w:rFonts w:hint="eastAsia" w:ascii="仿宋" w:hAnsi="仿宋" w:eastAsia="仿宋" w:cs="仿宋"/>
          <w:sz w:val="32"/>
          <w:szCs w:val="32"/>
        </w:rPr>
      </w:pPr>
      <w:r>
        <w:rPr>
          <w:rFonts w:hint="eastAsia" w:ascii="仿宋" w:hAnsi="仿宋" w:eastAsia="仿宋" w:cs="仿宋"/>
          <w:sz w:val="32"/>
          <w:szCs w:val="32"/>
        </w:rPr>
        <w:t>按照“农户分类、公司清运、镇村监管、区级处理”运行模式，推行城乡垃圾处理一体化。</w:t>
      </w:r>
      <w:r>
        <w:rPr>
          <w:rFonts w:hint="eastAsia" w:ascii="仿宋" w:hAnsi="仿宋" w:eastAsia="仿宋" w:cs="仿宋"/>
          <w:sz w:val="32"/>
          <w:szCs w:val="32"/>
          <w:lang w:eastAsia="zh-CN"/>
        </w:rPr>
        <w:t>绩效目标包括：逐步在全区建立起农村环境治理“城乡管理一体化、环卫保洁市场化、垃圾处理无害化”的三化新机制。实现垃圾“收集运输全封闭、日产日清不落地”的目标。</w:t>
      </w:r>
    </w:p>
    <w:p>
      <w:pPr>
        <w:ind w:firstLine="56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九</w:t>
      </w:r>
      <w:r>
        <w:rPr>
          <w:rFonts w:hint="eastAsia" w:ascii="仿宋" w:hAnsi="仿宋" w:eastAsia="仿宋" w:cs="仿宋"/>
          <w:sz w:val="32"/>
          <w:szCs w:val="32"/>
        </w:rPr>
        <w:t>）指导全区农业产业化工作</w:t>
      </w:r>
    </w:p>
    <w:p>
      <w:pPr>
        <w:ind w:firstLine="560"/>
        <w:rPr>
          <w:rFonts w:hint="eastAsia" w:ascii="仿宋" w:hAnsi="仿宋" w:eastAsia="仿宋" w:cs="仿宋"/>
          <w:sz w:val="32"/>
          <w:szCs w:val="32"/>
        </w:rPr>
      </w:pPr>
      <w:r>
        <w:rPr>
          <w:rFonts w:hint="eastAsia" w:ascii="仿宋" w:hAnsi="仿宋" w:eastAsia="仿宋" w:cs="仿宋"/>
          <w:sz w:val="32"/>
          <w:szCs w:val="32"/>
        </w:rPr>
        <w:t>通过指导、扶持农业龙头企业发展，实施农业产业化项目，推动龙头企业扩规模、创品牌、增效益，增强农业产业化经营实力。</w:t>
      </w:r>
      <w:r>
        <w:rPr>
          <w:rFonts w:hint="eastAsia" w:ascii="仿宋" w:hAnsi="仿宋" w:eastAsia="仿宋" w:cs="仿宋"/>
          <w:sz w:val="32"/>
          <w:szCs w:val="32"/>
          <w:lang w:eastAsia="zh-CN"/>
        </w:rPr>
        <w:t>绩效目标包括：全区围绕五大生产基地，打造不同特色的行业龙头；新建一批有行业规模、有产业特色、有市场前景、有较强辐射带动力的重点项目，通过项目建设，促进农业产业化提质增效；农产品加工转换率；打造观光园周边新环境，以新环境推动观光园快速发展。</w:t>
      </w:r>
    </w:p>
    <w:p>
      <w:pPr>
        <w:ind w:firstLine="56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十</w:t>
      </w:r>
      <w:r>
        <w:rPr>
          <w:rFonts w:hint="eastAsia" w:ascii="仿宋" w:hAnsi="仿宋" w:eastAsia="仿宋" w:cs="仿宋"/>
          <w:sz w:val="32"/>
          <w:szCs w:val="32"/>
        </w:rPr>
        <w:t>）西部山区综合开发</w:t>
      </w:r>
    </w:p>
    <w:p>
      <w:pPr>
        <w:ind w:firstLine="560"/>
        <w:rPr>
          <w:rFonts w:hint="eastAsia" w:ascii="仿宋" w:hAnsi="仿宋" w:eastAsia="仿宋" w:cs="仿宋"/>
          <w:sz w:val="32"/>
          <w:szCs w:val="32"/>
        </w:rPr>
      </w:pPr>
      <w:r>
        <w:rPr>
          <w:rFonts w:hint="eastAsia" w:ascii="仿宋" w:hAnsi="仿宋" w:eastAsia="仿宋" w:cs="仿宋"/>
          <w:sz w:val="32"/>
          <w:szCs w:val="32"/>
        </w:rPr>
        <w:t>统筹山区土地整治，基础设施、特色经济和生态建设，开发整理荒山，推进西部山区道路、水利、供电、通讯、生产设施等基础设施建设，发展设施农业、节水农业、林果业、生态养殖、旅游观光和休闲农业等特色经济。绩效目标包括：通过实施西部山区综合开发，实现区域内荒山得到有效治理，土地得到有效利用，农民收入大幅度增加，生态得到明显改善。</w:t>
      </w:r>
    </w:p>
    <w:p>
      <w:pPr>
        <w:ind w:firstLine="56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十一</w:t>
      </w:r>
      <w:r>
        <w:rPr>
          <w:rFonts w:hint="eastAsia" w:ascii="仿宋" w:hAnsi="仿宋" w:eastAsia="仿宋" w:cs="仿宋"/>
          <w:sz w:val="32"/>
          <w:szCs w:val="32"/>
        </w:rPr>
        <w:t>）指导推进农村改革</w:t>
      </w:r>
    </w:p>
    <w:p>
      <w:pPr>
        <w:ind w:firstLine="560"/>
        <w:rPr>
          <w:rFonts w:hint="eastAsia" w:ascii="仿宋" w:hAnsi="仿宋" w:eastAsia="仿宋" w:cs="仿宋"/>
          <w:sz w:val="32"/>
          <w:szCs w:val="32"/>
        </w:rPr>
      </w:pPr>
      <w:r>
        <w:rPr>
          <w:rFonts w:hint="eastAsia" w:ascii="仿宋" w:hAnsi="仿宋" w:eastAsia="仿宋" w:cs="仿宋"/>
          <w:sz w:val="32"/>
          <w:szCs w:val="32"/>
        </w:rPr>
        <w:t>全面深化农村重点领域、关键环节改革，加快推进农业农村体制机制创新，增强全区农村经济社会发展活力。全面推进村级民主管理制度体系和村务运作体系建设。绩效目标包括：构建“归属清晰、权责明确、利益共享、保护严格、运转规范、监管有力”的农村集体产权制度；建立起适应城乡一体化发展的新型农村集体经济管理体制与运营机制，不断壮大集体经济实力，不断增加农民的财产性收入</w:t>
      </w:r>
      <w:r>
        <w:rPr>
          <w:rFonts w:hint="eastAsia" w:ascii="仿宋" w:hAnsi="仿宋" w:eastAsia="仿宋" w:cs="仿宋"/>
          <w:sz w:val="32"/>
          <w:szCs w:val="32"/>
          <w:lang w:eastAsia="zh-CN"/>
        </w:rPr>
        <w:t>；</w:t>
      </w:r>
      <w:r>
        <w:rPr>
          <w:rFonts w:hint="eastAsia" w:ascii="仿宋" w:hAnsi="仿宋" w:eastAsia="仿宋" w:cs="仿宋"/>
          <w:sz w:val="32"/>
          <w:szCs w:val="32"/>
        </w:rPr>
        <w:t>推进农业农村体制改革专项小组年度改革任务的完成，加快我区农业农村体制机制创新，增强全区农村经济社会发展活力</w:t>
      </w:r>
      <w:r>
        <w:rPr>
          <w:rFonts w:hint="eastAsia" w:ascii="仿宋" w:hAnsi="仿宋" w:eastAsia="仿宋" w:cs="仿宋"/>
          <w:sz w:val="32"/>
          <w:szCs w:val="32"/>
          <w:lang w:eastAsia="zh-CN"/>
        </w:rPr>
        <w:t>；</w:t>
      </w:r>
      <w:r>
        <w:rPr>
          <w:rFonts w:hint="eastAsia" w:ascii="仿宋" w:hAnsi="仿宋" w:eastAsia="仿宋" w:cs="仿宋"/>
          <w:sz w:val="32"/>
          <w:szCs w:val="32"/>
        </w:rPr>
        <w:t>发展农村主导产业，培育新的集体经济增长点，探索新的集体经济实现形式，不断增加村级集体财富积累，壮大村级集体经济实力，带动村级集体公益事业发展，为新农村建设提供资金支撑</w:t>
      </w:r>
      <w:r>
        <w:rPr>
          <w:rFonts w:hint="eastAsia" w:ascii="仿宋" w:hAnsi="仿宋" w:eastAsia="仿宋" w:cs="仿宋"/>
          <w:sz w:val="32"/>
          <w:szCs w:val="32"/>
          <w:lang w:eastAsia="zh-CN"/>
        </w:rPr>
        <w:t>；</w:t>
      </w:r>
      <w:r>
        <w:rPr>
          <w:rFonts w:hint="eastAsia" w:ascii="仿宋" w:hAnsi="仿宋" w:eastAsia="仿宋" w:cs="仿宋"/>
          <w:sz w:val="32"/>
          <w:szCs w:val="32"/>
        </w:rPr>
        <w:t xml:space="preserve">通过对村务工作、民主管理工作的督导检查，实现“五规范一满意”的任务目标，提高我区农村村务公开水平和群众满意率。  </w:t>
      </w:r>
    </w:p>
    <w:p>
      <w:pPr>
        <w:numPr>
          <w:numId w:val="0"/>
        </w:numPr>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（十二）农</w:t>
      </w:r>
      <w:r>
        <w:rPr>
          <w:rFonts w:hint="eastAsia" w:ascii="仿宋" w:hAnsi="仿宋" w:eastAsia="仿宋" w:cs="仿宋"/>
          <w:sz w:val="32"/>
          <w:szCs w:val="32"/>
          <w:lang w:eastAsia="zh-CN"/>
        </w:rPr>
        <w:t>业综合开发项目的组织管理</w:t>
      </w:r>
    </w:p>
    <w:p>
      <w:pPr>
        <w:numPr>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根据国民经济和社会发展战略目标，制定全区农业综合开发总体规划和实施方案，对全区农业综合开发工作进行综合、协调、指导服务。贯彻执行全市农业综合开发方针、政策及规章制度。负责全区农业综合开发项目的筛选、认证、审查、申报；负责组织指导项目的实施检查验收工作。绩效目标包括：通过改善项目区基础设施建设，促进农民增收，农业增效，达到田成方、林成网、路相连、车相通；集中资金扶持实力强、效益好、带动作用明显、可持续发展的项目，将项目做大做强，培育成示范项目，进一步发挥项目作用，促进产业发展。</w:t>
      </w:r>
    </w:p>
    <w:p>
      <w:pPr>
        <w:ind w:firstLine="56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十三</w:t>
      </w:r>
      <w:r>
        <w:rPr>
          <w:rFonts w:hint="eastAsia" w:ascii="仿宋" w:hAnsi="仿宋" w:eastAsia="仿宋" w:cs="仿宋"/>
          <w:sz w:val="32"/>
          <w:szCs w:val="32"/>
        </w:rPr>
        <w:t>）农业政务管理</w:t>
      </w:r>
    </w:p>
    <w:p>
      <w:pPr>
        <w:ind w:firstLine="560"/>
        <w:rPr>
          <w:rFonts w:hint="eastAsia" w:ascii="仿宋" w:hAnsi="仿宋" w:eastAsia="仿宋" w:cs="仿宋"/>
          <w:sz w:val="32"/>
          <w:szCs w:val="32"/>
        </w:rPr>
      </w:pPr>
      <w:r>
        <w:rPr>
          <w:rFonts w:hint="eastAsia" w:ascii="仿宋" w:hAnsi="仿宋" w:eastAsia="仿宋" w:cs="仿宋"/>
          <w:sz w:val="32"/>
          <w:szCs w:val="32"/>
        </w:rPr>
        <w:t>保障各项农业工作的正常运行。绩效目标包括: 加强管理，园满完成区委、区政府交办任务；加强机关事务性管理，提高机关自身工作能力。</w:t>
      </w:r>
    </w:p>
    <w:p>
      <w:pPr>
        <w:ind w:firstLine="560"/>
        <w:rPr>
          <w:rFonts w:ascii="楷体_GB2312" w:hAnsi="Times New Roman" w:eastAsia="楷体_GB2312" w:cs="Times New Roman"/>
          <w:b/>
          <w:sz w:val="32"/>
          <w:szCs w:val="24"/>
          <w:highlight w:val="none"/>
        </w:rPr>
      </w:pPr>
      <w:r>
        <w:rPr>
          <w:rFonts w:hint="eastAsia" w:ascii="楷体_GB2312" w:hAnsi="黑体" w:eastAsia="楷体_GB2312" w:cs="Times New Roman"/>
          <w:b/>
          <w:sz w:val="32"/>
          <w:szCs w:val="32"/>
          <w:highlight w:val="none"/>
        </w:rPr>
        <w:t>部门职责及工作活动绩效目标指标：</w:t>
      </w:r>
    </w:p>
    <w:p>
      <w:pPr>
        <w:jc w:val="center"/>
        <w:outlineLvl w:val="0"/>
        <w:rPr>
          <w:rFonts w:ascii="方正小标宋_GBK" w:hAnsi="Times New Roman" w:eastAsia="方正小标宋_GBK" w:cs="Times New Roman"/>
          <w:sz w:val="32"/>
          <w:szCs w:val="24"/>
        </w:rPr>
      </w:pPr>
      <w:r>
        <w:rPr>
          <w:rFonts w:hint="eastAsia" w:ascii="方正小标宋_GBK" w:hAnsi="Times New Roman" w:eastAsia="方正小标宋_GBK" w:cs="Times New Roman"/>
          <w:sz w:val="32"/>
          <w:szCs w:val="24"/>
        </w:rPr>
        <w:t>部门职责-工作活动绩效目标</w:t>
      </w:r>
      <w:bookmarkEnd w:id="0"/>
    </w:p>
    <w:tbl>
      <w:tblPr>
        <w:tblStyle w:val="12"/>
        <w:tblW w:w="1393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326</w:t>
            </w:r>
            <w:r>
              <w:rPr>
                <w:rFonts w:hint="eastAsia" w:ascii="方正小标宋_GBK" w:eastAsia="方正小标宋_GBK"/>
                <w:sz w:val="24"/>
              </w:rPr>
              <w:t>石家庄市鹿泉区</w:t>
            </w:r>
            <w:r>
              <w:rPr>
                <w:rFonts w:hint="eastAsia" w:ascii="方正小标宋_GBK" w:eastAsia="方正小标宋_GBK"/>
                <w:sz w:val="24"/>
                <w:lang w:eastAsia="zh-CN"/>
              </w:rPr>
              <w:t>农业农村局</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一、支持农牧渔业产业化</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130.00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组织实施农牧渔业产业化经营的发展规划与政策，支持全区农业渔业企业产业化加快发展。</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拉伸农牧渔业产业链条，提升农产品水产品附加值，增加农民渔民收入，创造县域经济发展新增长点。</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、开展粮、棉、油高产创建</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通过展示优良品种、集成配套高产栽培技术，辐射带动大面积的平衡增产，提高单产水平。</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提高农产品产量</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高产稳产粮田达标率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亩单产增长率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主要农作物良种补贴覆盖率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92%</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、实施菜篮子工程</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通过改善生产条件，加强产品质量管理，强化品牌建设，大力推进标准化、集约化、现代化生产。</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提高蔬菜品质，实现产销一体</w:t>
            </w:r>
            <w:r>
              <w:rPr>
                <w:rFonts w:ascii="方正书宋_GBK" w:eastAsia="方正书宋_GBK"/>
              </w:rPr>
              <w:t>;</w:t>
            </w:r>
            <w:r>
              <w:rPr>
                <w:rFonts w:hint="eastAsia" w:ascii="方正书宋_GBK" w:eastAsia="方正书宋_GBK"/>
              </w:rPr>
              <w:t>增加供应量和提高产品质量</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蔬菜标准园创建完成率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、现代农业示范园区建设</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110.00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打造具有地域特色的现代农业园区。</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推动园区农业基础设施、科技进步、质量安全、生态环保水平显著提升。</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现代农业园区建设完成情况</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农业园区单位面积产值高于当地平均水平幅度</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、建设现代生态健康渔业，发展休闲渔业、渔家乐</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20.00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重点扶持有规模、有创新的水产养殖企业，对道路、老旧池塘进行改造，建设池塘溶解氧控制系统，更新现代化的渔业机械设施装备</w:t>
            </w:r>
            <w:r>
              <w:rPr>
                <w:rFonts w:ascii="方正书宋_GBK" w:eastAsia="方正书宋_GBK"/>
              </w:rPr>
              <w:t>.</w:t>
            </w:r>
            <w:r>
              <w:rPr>
                <w:rFonts w:hint="eastAsia" w:ascii="方正书宋_GBK" w:eastAsia="方正书宋_GBK"/>
              </w:rPr>
              <w:t>按照因地制宜、形成特色、示范带动的要求，发展休闲垂钓、观光旅游、观赏和特种渔业。</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扶持休闲渔业示范基地创建和渔业互保奖补项目</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完成项目建设</w:t>
            </w:r>
            <w:r>
              <w:rPr>
                <w:rFonts w:ascii="方正书宋_GBK" w:eastAsia="方正书宋_GBK"/>
              </w:rPr>
              <w:t>1</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建成休闲渔业基地</w:t>
            </w:r>
            <w:r>
              <w:rPr>
                <w:rFonts w:ascii="方正书宋_GBK" w:eastAsia="方正书宋_GBK"/>
              </w:rPr>
              <w:t>2</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完成标准化池塘</w:t>
            </w:r>
            <w:r>
              <w:rPr>
                <w:rFonts w:ascii="方正书宋_GBK" w:eastAsia="方正书宋_GBK"/>
              </w:rPr>
              <w:t>50</w:t>
            </w:r>
            <w:r>
              <w:rPr>
                <w:rFonts w:hint="eastAsia" w:ascii="方正书宋_GBK" w:eastAsia="方正书宋_GBK"/>
              </w:rPr>
              <w:t>亩</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、现代农业产业技术体系建设</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现代农业产业技术体系创新，开展产业研发等</w:t>
            </w:r>
          </w:p>
        </w:tc>
        <w:tc>
          <w:tcPr>
            <w:tcW w:w="2976" w:type="dxa"/>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二、扶持农畜产品、水产品生产</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165.00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对生产者采取直接补贴的办法，支持推广优良品种、先进适用养殖技术，实施科学管理，提高农牧渔产品产量、质量，提高生产经营效益。</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提高农牧渔产品产量和质量，优化产业结构提高经济效益，增加农民收入</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、畜牧良种补贴项目</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按照国家、市部署，对全区种猪、种鸡等实施良种补贴。</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根据项目承担单位实施情况，对其进行补贴</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项目单位任务完成率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、畜牧业生态养殖</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40.00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大力推广农牧结合、生态循环、环保健康的养殖模式建设</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为保证肉蛋奶等产品产量对畜牧园区建设、龙头企业等给予补贴</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补贴金发放率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、支持乳粉业发展</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100.00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贯彻落实国家和省市政府有关规定，扶持为生产乳粉提供奶源的奶牛养殖场实施标准化建设。</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提高乳粉用奶源基地建设水平和奶源质量</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高产奶牛胚胎移植量完成率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项目单位任务完成率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、实施</w:t>
            </w:r>
            <w:r>
              <w:rPr>
                <w:rFonts w:hint="cs" w:ascii="方正书宋_GBK" w:eastAsia="方正书宋_GBK"/>
                <w:b/>
              </w:rPr>
              <w:t>“</w:t>
            </w:r>
            <w:r>
              <w:rPr>
                <w:rFonts w:hint="eastAsia" w:ascii="方正书宋_GBK" w:eastAsia="方正书宋_GBK"/>
                <w:b/>
              </w:rPr>
              <w:t>菜篮子工程</w:t>
            </w:r>
            <w:r>
              <w:rPr>
                <w:rFonts w:hint="cs" w:ascii="方正书宋_GBK" w:eastAsia="方正书宋_GBK"/>
                <w:b/>
              </w:rPr>
              <w:t>”</w:t>
            </w:r>
            <w:r>
              <w:rPr>
                <w:rFonts w:hint="eastAsia" w:ascii="方正书宋_GBK" w:eastAsia="方正书宋_GBK"/>
                <w:b/>
              </w:rPr>
              <w:t>促进畜牧业生态养殖</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大力推广农牧结合、生态循环、环保健康的养殖模式建设。为保证肉蛋奶等产品产量对畜牧园区建设、龙头企业、养殖合作社等给予补贴</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优化畜牧产业空间布局，改善生态环境，推动畜牧业转型升级、持续发展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项目承担单位创建完成率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、粮改饲</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根据农业部关于印发《粮改饲工作实施方案》的通知（农牧发【</w:t>
            </w:r>
            <w:r>
              <w:rPr>
                <w:rFonts w:ascii="方正书宋_GBK" w:eastAsia="方正书宋_GBK"/>
              </w:rPr>
              <w:t>2017</w:t>
            </w:r>
            <w:r>
              <w:rPr>
                <w:rFonts w:hint="eastAsia" w:ascii="方正书宋_GBK" w:eastAsia="方正书宋_GBK"/>
              </w:rPr>
              <w:t>】</w:t>
            </w:r>
            <w:r>
              <w:rPr>
                <w:rFonts w:ascii="方正书宋_GBK" w:eastAsia="方正书宋_GBK"/>
              </w:rPr>
              <w:t>8</w:t>
            </w:r>
            <w:r>
              <w:rPr>
                <w:rFonts w:hint="eastAsia" w:ascii="方正书宋_GBK" w:eastAsia="方正书宋_GBK"/>
              </w:rPr>
              <w:t>号）要求，河北省农业厅、财政厅制定了</w:t>
            </w:r>
            <w:r>
              <w:rPr>
                <w:rFonts w:ascii="方正书宋_GBK" w:eastAsia="方正书宋_GBK"/>
              </w:rPr>
              <w:t>2018</w:t>
            </w:r>
            <w:r>
              <w:rPr>
                <w:rFonts w:hint="eastAsia" w:ascii="方正书宋_GBK" w:eastAsia="方正书宋_GBK"/>
              </w:rPr>
              <w:t>年</w:t>
            </w:r>
            <w:r>
              <w:rPr>
                <w:rFonts w:hint="cs" w:ascii="方正书宋_GBK" w:eastAsia="方正书宋_GBK"/>
              </w:rPr>
              <w:t>“</w:t>
            </w:r>
            <w:r>
              <w:rPr>
                <w:rFonts w:hint="eastAsia" w:ascii="方正书宋_GBK" w:eastAsia="方正书宋_GBK"/>
              </w:rPr>
              <w:t>粮改饲</w:t>
            </w:r>
            <w:r>
              <w:rPr>
                <w:rFonts w:hint="cs" w:ascii="方正书宋_GBK" w:eastAsia="方正书宋_GBK"/>
              </w:rPr>
              <w:t>”</w:t>
            </w:r>
            <w:r>
              <w:rPr>
                <w:rFonts w:hint="eastAsia" w:ascii="方正书宋_GBK" w:eastAsia="方正书宋_GBK"/>
              </w:rPr>
              <w:t>试点项目申报指南</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完成粮改饲种植面积和收贮量。提高种植户收入，降低养殖户饲喂成本。</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粮改饲种植面积完成率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粮改饲青贮收贮量完成率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、水产良种繁育体系建设</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开展水产良种选育、培育、扩繁及重要养殖种类育种等工作，针对主养品种亲本老化、病弱、抗病力下降等问题，开展亲本更新工作，开展优新品种引进工作，调整、优化养殖品种结构</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提高优质水产良种及苗种的生产供应能力，促进特色、主导养殖品种的良种覆盖率提高，增加渔民收入</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开展技术培训</w:t>
            </w:r>
            <w:r>
              <w:rPr>
                <w:rFonts w:ascii="方正书宋_GBK" w:eastAsia="方正书宋_GBK"/>
              </w:rPr>
              <w:t>1</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推广良种</w:t>
            </w:r>
            <w:r>
              <w:rPr>
                <w:rFonts w:ascii="方正书宋_GBK" w:eastAsia="方正书宋_GBK"/>
              </w:rPr>
              <w:t>1</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引进新品种</w:t>
            </w:r>
            <w:r>
              <w:rPr>
                <w:rFonts w:ascii="方正书宋_GBK" w:eastAsia="方正书宋_GBK"/>
              </w:rPr>
              <w:t>1</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7</w:t>
            </w:r>
            <w:r>
              <w:rPr>
                <w:rFonts w:hint="eastAsia" w:ascii="方正书宋_GBK" w:eastAsia="方正书宋_GBK"/>
                <w:b/>
              </w:rPr>
              <w:t>、病死畜禽无害化处理补助</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病死猪无害化处理补助经费</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对收集的病死畜禽进行补助</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补助金发放率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8</w:t>
            </w:r>
            <w:r>
              <w:rPr>
                <w:rFonts w:hint="eastAsia" w:ascii="方正书宋_GBK" w:eastAsia="方正书宋_GBK"/>
                <w:b/>
              </w:rPr>
              <w:t>、绿色、无公害农产品认证</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对获得无公害农产品认证、绿色食品认证给予补助</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对获得无公害农产品认证、绿色食品认证给予补助</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补助金发放率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三、农业资源保护和生态建设</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90.00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按照可持续发展和建设生态农业的要求，保护农业资源，改善和保护农村环境。</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建设生态农业，改善农村环境，实现农业可持续发展。</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、农村能源清洁开发利用</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50.00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做好农村地区、生态园区空气能与太阳能互补采暖工作及打造新能源示范村、示范园区。</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实现清洁能源的高效利用，减少大气污染排放，改善农村环境。</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室温达标天数比例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采暖期平均费用比例</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污染物排放量</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、农作物秸秆综合利用</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40.00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在全区开展农作物肥料化、能源化、基料化、原料化、秸秆利用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开展秸秆综合利用，减少农作物秸秆焚烧，改善城乡居民生活条件</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农作物秸秆综合利用率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、畜禽养殖污染治理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开展畜禽养殖污染防治工作。根据上级要求对养殖场需上畜禽粪污处理设施改建。</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改善生态环境</w:t>
            </w:r>
            <w:r>
              <w:rPr>
                <w:rFonts w:ascii="方正书宋_GBK" w:eastAsia="方正书宋_GBK"/>
              </w:rPr>
              <w:t>,</w:t>
            </w:r>
            <w:r>
              <w:rPr>
                <w:rFonts w:hint="eastAsia" w:ascii="方正书宋_GBK" w:eastAsia="方正书宋_GBK"/>
              </w:rPr>
              <w:t>促进畜禽养殖布局优化。</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养殖场粪污处理利用设施建设任务完成率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、耕地质量监测网络建设，推广化肥控减技术</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建立</w:t>
            </w:r>
            <w:r>
              <w:rPr>
                <w:rFonts w:ascii="方正书宋_GBK" w:eastAsia="方正书宋_GBK"/>
              </w:rPr>
              <w:t>40</w:t>
            </w:r>
            <w:r>
              <w:rPr>
                <w:rFonts w:hint="eastAsia" w:ascii="方正书宋_GBK" w:eastAsia="方正书宋_GBK"/>
              </w:rPr>
              <w:t>个耕地质量监测网点进行土壤养分化验；推广测土配方肥技术；减少化肥使用量，提高肥料的利用率。</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土壤样品采集化验；进行耕地质量等级变更评价、耕地资源承载能力评价；推广配方肥技术。</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测土配方施肥技术推广完成率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完成土壤样品采集</w:t>
            </w:r>
            <w:r>
              <w:rPr>
                <w:rFonts w:ascii="方正书宋_GBK" w:eastAsia="方正书宋_GBK"/>
              </w:rPr>
              <w:t>40</w:t>
            </w:r>
            <w:r>
              <w:rPr>
                <w:rFonts w:hint="eastAsia" w:ascii="方正书宋_GBK" w:eastAsia="方正书宋_GBK"/>
              </w:rPr>
              <w:t>个完成率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编写评价报告数完成率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、农村清洁生产</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按照整乡整村推进的模式；集中示范推广打造示范村。</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改善农村环境。</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清洁农业生产完成率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、农业面源污染</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根据监测结果编制农产品产地安全情况分析报告，开展农产品示范。</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实现农作物秸秆的高效能源化利用，减少大气污染排放，改善农村环境。</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年度监测任务完成率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7</w:t>
            </w:r>
            <w:r>
              <w:rPr>
                <w:rFonts w:hint="eastAsia" w:ascii="方正书宋_GBK" w:eastAsia="方正书宋_GBK"/>
                <w:b/>
              </w:rPr>
              <w:t>、乳粉业污染治理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乳粉业污染治理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为保证乳粉业等产品产量对企业给予补贴</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补贴金发放率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8</w:t>
            </w:r>
            <w:r>
              <w:rPr>
                <w:rFonts w:hint="eastAsia" w:ascii="方正书宋_GBK" w:eastAsia="方正书宋_GBK"/>
                <w:b/>
              </w:rPr>
              <w:t>、绿色健康种植养殖</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发展支持绿色健康种植养殖</w:t>
            </w:r>
          </w:p>
        </w:tc>
        <w:tc>
          <w:tcPr>
            <w:tcW w:w="2976" w:type="dxa"/>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四、农牧渔业科技支撑和公共服务</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300.97</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提高农牧渔业机械化水平，建立健全农牧渔业科技服务和防灾减灾体系，推动农牧渔业生产向现代农业发展。</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促进农业现代化，提高农业劳动生产率，增加农民收入。</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、农机购置补贴、深松作业及农机新机具、新技术推广</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购机申请、确定对象、自主购机、机具核实、结算申请、结算审核、拨付资金；开展耕地深松作业，作业深度超过</w:t>
            </w:r>
            <w:r>
              <w:rPr>
                <w:rFonts w:ascii="方正书宋_GBK" w:eastAsia="方正书宋_GBK"/>
              </w:rPr>
              <w:t>25</w:t>
            </w:r>
            <w:r>
              <w:rPr>
                <w:rFonts w:hint="eastAsia" w:ascii="方正书宋_GBK" w:eastAsia="方正书宋_GBK"/>
              </w:rPr>
              <w:t>厘米，深松间隔不大于</w:t>
            </w:r>
            <w:r>
              <w:rPr>
                <w:rFonts w:ascii="方正书宋_GBK" w:eastAsia="方正书宋_GBK"/>
              </w:rPr>
              <w:t>70</w:t>
            </w:r>
            <w:r>
              <w:rPr>
                <w:rFonts w:hint="eastAsia" w:ascii="方正书宋_GBK" w:eastAsia="方正书宋_GBK"/>
              </w:rPr>
              <w:t>厘米，通过实施农机深松作业，有效节约了水资源，提高了肥料利用率；落实农机购置补贴政策，开展农机新机具、新技术宣传培训，加强主要农作物生产关键环节所需的、大马力、高性能、绿色环保型农机装备推广力度。</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提升农业机械化水平</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开展农机新机具、新技术培训</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深松面积目标完成率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开展农机技术服务</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亩单产平均增长率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突出补贴重点</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深松深度达标率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资金结算</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信息公开</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主要农作物耕种收机械化综合水平</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、农产品、水产品质量安全监管</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100.38</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加强农产品质量安全监管体系建设，指导农产品检验检测体系建设和机构考核，依法实施符合安全标准的农产品认证和监督管理。</w:t>
            </w:r>
          </w:p>
          <w:p>
            <w:pPr>
              <w:spacing w:line="300" w:lineRule="exact"/>
              <w:jc w:val="left"/>
              <w:rPr>
                <w:rFonts w:hint="eastAsia" w:ascii="方正书宋_GBK" w:eastAsia="方正书宋_GBK"/>
              </w:rPr>
            </w:pPr>
            <w:r>
              <w:rPr>
                <w:rFonts w:hint="eastAsia" w:ascii="方正书宋_GBK" w:eastAsia="方正书宋_GBK"/>
              </w:rPr>
              <w:t>组织开展农产品质量安全的监督检查。加强水产品质量安全监管体系建设，开展水产品质量安全监督检查，组织开展无公害水产品产地认定产品认证和监督管理。</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加强农产品质量安全体系建设</w:t>
            </w:r>
            <w:r>
              <w:rPr>
                <w:rFonts w:ascii="方正书宋_GBK" w:eastAsia="方正书宋_GBK"/>
              </w:rPr>
              <w:t>,</w:t>
            </w:r>
            <w:r>
              <w:rPr>
                <w:rFonts w:hint="eastAsia" w:ascii="方正书宋_GBK" w:eastAsia="方正书宋_GBK"/>
              </w:rPr>
              <w:t>提高监管能力</w:t>
            </w:r>
            <w:r>
              <w:rPr>
                <w:rFonts w:ascii="方正书宋_GBK" w:eastAsia="方正书宋_GBK"/>
              </w:rPr>
              <w:t>,</w:t>
            </w:r>
            <w:r>
              <w:rPr>
                <w:rFonts w:hint="eastAsia" w:ascii="方正书宋_GBK" w:eastAsia="方正书宋_GBK"/>
              </w:rPr>
              <w:t>确保农产品质量安全。</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重大农产品质量安全事件发生率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不发生重大水产品质量安全事件</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水产品质量安全责任制度落实达</w:t>
            </w: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农产品及农业投入品质量抽检计划完成率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水产品质量安全抽检计划完成率达</w:t>
            </w: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实验室硬件建设的达标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、农村信息应用示范及电子商务示范</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农业信息技术和产品研发、引进新技术、新品种、新成果、提高农业生产经营效益，带领周围农民增收致富；</w:t>
            </w:r>
          </w:p>
          <w:p>
            <w:pPr>
              <w:spacing w:line="300" w:lineRule="exact"/>
              <w:jc w:val="left"/>
              <w:rPr>
                <w:rFonts w:hint="eastAsia" w:ascii="方正书宋_GBK" w:eastAsia="方正书宋_GBK"/>
              </w:rPr>
            </w:pPr>
            <w:r>
              <w:rPr>
                <w:rFonts w:hint="eastAsia" w:ascii="方正书宋_GBK" w:eastAsia="方正书宋_GBK"/>
              </w:rPr>
              <w:t>电子商务试点村建设、资料印刷、网上店铺开展网络营销和利用信息带动农民增收。</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通过电商培育、发展、交易，带动农牧业发展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带动农户发展</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实际产生的经营效益</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电商销售大户销售额</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66.67%</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33.33%</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&lt;33.33%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新品种引进</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r>
              <w:rPr>
                <w:rFonts w:hint="eastAsia" w:ascii="方正书宋_GBK" w:eastAsia="方正书宋_GBK"/>
              </w:rPr>
              <w:t>个</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&lt;1</w:t>
            </w:r>
            <w:r>
              <w:rPr>
                <w:rFonts w:hint="eastAsia" w:ascii="方正书宋_GBK" w:eastAsia="方正书宋_GBK"/>
              </w:rPr>
              <w:t>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电子商务从业人员</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从事电子商务的家庭户数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、新技术引进示范推广</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以夯实粮食作物发展后劲提升蔬菜品质为核心，进一步加大新品种新技术的引进示范力度；加大防灾减灾新技术推广，引进新技术示范，开展新型肥料试验。</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开展小麦玉米配套高产栽培技术推广，提高防灾减灾能力；引进小麦、玉米品种各</w:t>
            </w:r>
            <w:r>
              <w:rPr>
                <w:rFonts w:ascii="方正书宋_GBK" w:eastAsia="方正书宋_GBK"/>
              </w:rPr>
              <w:t>5</w:t>
            </w:r>
            <w:r>
              <w:rPr>
                <w:rFonts w:hint="eastAsia" w:ascii="方正书宋_GBK" w:eastAsia="方正书宋_GBK"/>
              </w:rPr>
              <w:t>个以上；引进、试验、示范蔬菜新品种</w:t>
            </w:r>
            <w:r>
              <w:rPr>
                <w:rFonts w:ascii="方正书宋_GBK" w:eastAsia="方正书宋_GBK"/>
              </w:rPr>
              <w:t>11</w:t>
            </w:r>
            <w:r>
              <w:rPr>
                <w:rFonts w:hint="eastAsia" w:ascii="方正书宋_GBK" w:eastAsia="方正书宋_GBK"/>
              </w:rPr>
              <w:t>余个；筛选出一批适合我市的新技术、新品种、新肥料。</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专业技术人员参加知识更新培训</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开展新品种、新技术、新肥料引进试验、示范</w:t>
            </w:r>
            <w:r>
              <w:rPr>
                <w:rFonts w:ascii="方正书宋_GBK" w:eastAsia="方正书宋_GBK"/>
              </w:rPr>
              <w:t>3-5</w:t>
            </w:r>
            <w:r>
              <w:rPr>
                <w:rFonts w:hint="eastAsia" w:ascii="方正书宋_GBK" w:eastAsia="方正书宋_GBK"/>
              </w:rPr>
              <w:t>个。</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培训基层农技人员及农民</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、农作物种子鉴定与推广</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42.00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开展种子质量监督抽检，对种子生产田进行田间检验，确保农民用上</w:t>
            </w:r>
            <w:r>
              <w:rPr>
                <w:rFonts w:hint="cs" w:ascii="方正书宋_GBK" w:eastAsia="方正书宋_GBK"/>
              </w:rPr>
              <w:t>“</w:t>
            </w:r>
            <w:r>
              <w:rPr>
                <w:rFonts w:hint="eastAsia" w:ascii="方正书宋_GBK" w:eastAsia="方正书宋_GBK"/>
              </w:rPr>
              <w:t>放心种</w:t>
            </w:r>
            <w:r>
              <w:rPr>
                <w:rFonts w:hint="cs" w:ascii="方正书宋_GBK" w:eastAsia="方正书宋_GBK"/>
              </w:rPr>
              <w:t>”</w:t>
            </w:r>
            <w:r>
              <w:rPr>
                <w:rFonts w:hint="eastAsia" w:ascii="方正书宋_GBK" w:eastAsia="方正书宋_GBK"/>
              </w:rPr>
              <w:t>。开展农作物新品种试验示范与推广。</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为农业生产提供优良新品种。</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种子质量监督抽查完成率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农作物节水品种推广率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主要农作物良种覆盖率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97%</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、农业防灾减灾</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监测、发布农业灾情，组织种子、化肥等救灾物资储备和调拨，指导紧急救灾和灾后生产恢复。</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加强灾情监测，组织灾后生产恢复。</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灾情报告准确率</w:t>
            </w:r>
            <w:r>
              <w:rPr>
                <w:rFonts w:ascii="方正书宋_GBK" w:eastAsia="方正书宋_GBK"/>
              </w:rPr>
              <w:t>,</w:t>
            </w:r>
            <w:r>
              <w:rPr>
                <w:rFonts w:hint="eastAsia" w:ascii="方正书宋_GBK" w:eastAsia="方正书宋_GBK"/>
              </w:rPr>
              <w:t>救灾物资到位率</w:t>
            </w:r>
            <w:r>
              <w:rPr>
                <w:rFonts w:ascii="方正书宋_GBK" w:eastAsia="方正书宋_GBK"/>
              </w:rPr>
              <w:t>,</w:t>
            </w:r>
            <w:r>
              <w:rPr>
                <w:rFonts w:hint="eastAsia" w:ascii="方正书宋_GBK" w:eastAsia="方正书宋_GBK"/>
              </w:rPr>
              <w:t>救灾措施到位率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7</w:t>
            </w:r>
            <w:r>
              <w:rPr>
                <w:rFonts w:hint="eastAsia" w:ascii="方正书宋_GBK" w:eastAsia="方正书宋_GBK"/>
                <w:b/>
              </w:rPr>
              <w:t>、动物疫病防控及应急储备</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56.77</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落实重大动物防疫政策，建立完善防疫体系，组织乡、村开展动物疫病防控工作，做好疫情诊断并组织扑疫，完善应急储备工作。</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降低疫病发生，确保疫情不发生、不蔓延，促进养殖业健康发展。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强制免疫病种免疫率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免疫后抗体检测率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村级防疫年度考核</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突发动物疫情处置率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8</w:t>
            </w:r>
            <w:r>
              <w:rPr>
                <w:rFonts w:hint="eastAsia" w:ascii="方正书宋_GBK" w:eastAsia="方正书宋_GBK"/>
                <w:b/>
              </w:rPr>
              <w:t>、水生动物疫病防控</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加强水生动物疫病防控体系建设，指导水生动物监测点技术人员和辖区水产养殖从业人员病害测报工作；按照上级要求完成年度内水生动物疫病防治抽样检测任务；</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开展水生动物疫病防控体系建设，指导从业人员防止和病害测报；完成年度疫病抽样检测任务；</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科学分析上年度病害发生情况，确定病害防治点；</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按照上级</w:t>
            </w:r>
            <w:r>
              <w:rPr>
                <w:rFonts w:hint="cs" w:ascii="方正书宋_GBK" w:eastAsia="方正书宋_GBK"/>
              </w:rPr>
              <w:t>“</w:t>
            </w:r>
            <w:r>
              <w:rPr>
                <w:rFonts w:hint="eastAsia" w:ascii="方正书宋_GBK" w:eastAsia="方正书宋_GBK"/>
              </w:rPr>
              <w:t>水生动物疫病专项监测任务分解表</w:t>
            </w:r>
            <w:r>
              <w:rPr>
                <w:rFonts w:hint="cs" w:ascii="方正书宋_GBK" w:eastAsia="方正书宋_GBK"/>
              </w:rPr>
              <w:t>”</w:t>
            </w:r>
            <w:r>
              <w:rPr>
                <w:rFonts w:hint="eastAsia" w:ascii="方正书宋_GBK" w:eastAsia="方正书宋_GBK"/>
              </w:rPr>
              <w:t>完成抽检任务。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按时登录病害防控系统，填报病害发生情况</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9</w:t>
            </w:r>
            <w:r>
              <w:rPr>
                <w:rFonts w:hint="eastAsia" w:ascii="方正书宋_GBK" w:eastAsia="方正书宋_GBK"/>
                <w:b/>
              </w:rPr>
              <w:t>、畜牧标准化相关工作</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畜牧业地方标准制定、无公害畜产品产地认定和产品认证等畜牧标准化相关工作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鼓励具备条件的养殖企业积极申报无公害畜产品产地产品认证；引导通过认证的企业申报名牌产品，带动养殖规模化、标准化、产业化。</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年度任务完成率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95.00%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10</w:t>
            </w:r>
            <w:r>
              <w:rPr>
                <w:rFonts w:hint="eastAsia" w:ascii="方正书宋_GBK" w:eastAsia="方正书宋_GBK"/>
                <w:b/>
              </w:rPr>
              <w:t>、病死畜禽无害化处理体系建设</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覆盖全区饲养屠宰经营运输等环节的病死畜禽无害化处理体系</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对收集的病死畜禽进行补助</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补助金发放率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11</w:t>
            </w:r>
            <w:r>
              <w:rPr>
                <w:rFonts w:hint="eastAsia" w:ascii="方正书宋_GBK" w:eastAsia="方正书宋_GBK"/>
                <w:b/>
              </w:rPr>
              <w:t>、植物病虫害及疫情监控预警防控</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开展植物防疫检疫及农作物病虫害监测预警，发布病虫情报，建立完善植物防疫和检疫体系。指导组织开展社会化防治。</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有效减少植物疫情及病虫危害</w:t>
            </w:r>
            <w:r>
              <w:rPr>
                <w:rFonts w:ascii="方正书宋_GBK" w:eastAsia="方正书宋_GBK"/>
              </w:rPr>
              <w:t>,</w:t>
            </w:r>
            <w:r>
              <w:rPr>
                <w:rFonts w:hint="eastAsia" w:ascii="方正书宋_GBK" w:eastAsia="方正书宋_GBK"/>
              </w:rPr>
              <w:t>促进农业健康发展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突发植物疫情处置率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植物疫情监测目标完成率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农业有害生物监测预报</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农业有害生物组织防治</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12</w:t>
            </w:r>
            <w:r>
              <w:rPr>
                <w:rFonts w:hint="eastAsia" w:ascii="方正书宋_GBK" w:eastAsia="方正书宋_GBK"/>
                <w:b/>
              </w:rPr>
              <w:t>、基层农技推广体系建设</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1.65</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基层农业技术推广体系改革与建设工作和农技推广相关工作，开展农技人员知识更新培训，开展区域性新品种新技术新设备引进、试验示范、转化推广，以及新型农业科技示范主体的培育，利用移动互联等现代信息技术，搭建河北省农技推广移动服务体系。</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促进农业科技推广转化，指导做好农业新品种、新技术推广和科技示范，有效提高农业科技生产力；提高基层农技人员的业务能力和科技示范主体的辐射带头作用；发挥基地在科技创新、成果转化、科普培训等方面的示范推广优势和展示窗口作用，进行展示、观摩；培育新型农业科技示范主体；满足农业专家、农技推广人员等获取知识和经验交流的需求，提升基层农技推广人员的素质，进一步提高农技推广服务能力</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将新品种、新技术进行试验、示范、展示、观摩。培育</w:t>
            </w:r>
            <w:r>
              <w:rPr>
                <w:rFonts w:ascii="方正书宋_GBK" w:eastAsia="方正书宋_GBK"/>
              </w:rPr>
              <w:t>85</w:t>
            </w:r>
            <w:r>
              <w:rPr>
                <w:rFonts w:hint="eastAsia" w:ascii="方正书宋_GBK" w:eastAsia="方正书宋_GBK"/>
              </w:rPr>
              <w:t>个新型农业科技示范主体，辐射带动</w:t>
            </w:r>
            <w:r>
              <w:rPr>
                <w:rFonts w:ascii="方正书宋_GBK" w:eastAsia="方正书宋_GBK"/>
              </w:rPr>
              <w:t>425</w:t>
            </w:r>
            <w:r>
              <w:rPr>
                <w:rFonts w:hint="eastAsia" w:ascii="方正书宋_GBK" w:eastAsia="方正书宋_GBK"/>
              </w:rPr>
              <w:t>个辐射户。</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参加农技人员知识更新培训人数</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完善星级农技推广机构体制，激活基层农技推广活力、建设高效农业科技服务队伍。</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云平台上报信息完成率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13</w:t>
            </w:r>
            <w:r>
              <w:rPr>
                <w:rFonts w:hint="eastAsia" w:ascii="方正书宋_GBK" w:eastAsia="方正书宋_GBK"/>
                <w:b/>
              </w:rPr>
              <w:t>、村级农业技术员队伍建设</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12.48</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对全区农业村级技术员进行管理，带动周边农户推广新品种、应用新技术，对全区农业村级技术员宣传、推广工作进行考核，并给予相应的误工补助</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建立一支科技文化素质高、吸纳新技术能力强，能够起示范、推广、带动作用的村级农业技术员队伍</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依照村级技术员绩效百分考核办法</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做好村级技术员组织、管理工作</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做好村级技术员农业技术推广、宣传工作</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14</w:t>
            </w:r>
            <w:r>
              <w:rPr>
                <w:rFonts w:hint="eastAsia" w:ascii="方正书宋_GBK" w:eastAsia="方正书宋_GBK"/>
                <w:b/>
              </w:rPr>
              <w:t>、农业教育与技能培训</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按照国家部署，组织开展职业教育和新型职业农民教育培训</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提高职业教育和新型职业农民教育</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开展职业教育和新型职业农民教育培训完成率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15</w:t>
            </w:r>
            <w:r>
              <w:rPr>
                <w:rFonts w:hint="eastAsia" w:ascii="方正书宋_GBK" w:eastAsia="方正书宋_GBK"/>
                <w:b/>
              </w:rPr>
              <w:t>、农业技术服务和技术培训</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17.70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做好区域内小麦、玉米新品种的试验、示范、宣传和推广，筛选适宜当地的新品种；结合农时季节组织开展农业技术培训，宣传农业科技知识，讲解农业生产关键技术</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完成区域内新品种更新替代，做到因地制宜实施开展农业技术培训，宣传农业季节性关键技术</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w:t>
            </w:r>
            <w:r>
              <w:rPr>
                <w:rFonts w:ascii="方正书宋_GBK" w:eastAsia="方正书宋_GBK"/>
              </w:rPr>
              <w:t>1-2</w:t>
            </w:r>
            <w:r>
              <w:rPr>
                <w:rFonts w:hint="eastAsia" w:ascii="方正书宋_GBK" w:eastAsia="方正书宋_GBK"/>
              </w:rPr>
              <w:t>个新品种更新</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w:t>
            </w:r>
            <w:r>
              <w:rPr>
                <w:rFonts w:ascii="方正书宋_GBK" w:eastAsia="方正书宋_GBK"/>
              </w:rPr>
              <w:t>2-3</w:t>
            </w:r>
            <w:r>
              <w:rPr>
                <w:rFonts w:hint="eastAsia" w:ascii="方正书宋_GBK" w:eastAsia="方正书宋_GBK"/>
              </w:rPr>
              <w:t>次农业技术培训</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16</w:t>
            </w:r>
            <w:r>
              <w:rPr>
                <w:rFonts w:hint="eastAsia" w:ascii="方正书宋_GBK" w:eastAsia="方正书宋_GBK"/>
                <w:b/>
              </w:rPr>
              <w:t>、农业机械及其操作人员的监督和管理</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7.00</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对拖拉机、联合收割机进行安全技术检验，注册登记、变更登记、注销登记，补换领登记证书、号牌、行驶证。</w:t>
            </w:r>
          </w:p>
          <w:p>
            <w:pPr>
              <w:spacing w:line="300" w:lineRule="exact"/>
              <w:jc w:val="left"/>
              <w:rPr>
                <w:rFonts w:ascii="方正书宋_GBK" w:eastAsia="方正书宋_GBK"/>
              </w:rPr>
            </w:pPr>
            <w:r>
              <w:rPr>
                <w:rFonts w:hint="eastAsia" w:ascii="方正书宋_GBK" w:eastAsia="方正书宋_GBK"/>
              </w:rPr>
              <w:t>开展农机安全生产法律、法规和安全知识宣传教育，开展农机安全生产隐患排查治理、违法违规行为查处，对农机事故统计、报告、进行责任认定和调解处理。</w:t>
            </w:r>
          </w:p>
          <w:p>
            <w:pPr>
              <w:spacing w:line="300" w:lineRule="exact"/>
              <w:jc w:val="left"/>
              <w:rPr>
                <w:rFonts w:hint="eastAsia" w:ascii="方正书宋_GBK" w:eastAsia="方正书宋_GBK"/>
              </w:rPr>
            </w:pPr>
            <w:r>
              <w:rPr>
                <w:rFonts w:hint="eastAsia" w:ascii="方正书宋_GBK" w:eastAsia="方正书宋_GBK"/>
              </w:rPr>
              <w:t>负责原种场农田生产经营管理。</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重点做好政策性补贴机具管理，对农机合作社、农机大户开展上门服务，全面完成上级下达任务目标。</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按时办结</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保持稳产</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深入开展农机安全宣传活动，开展</w:t>
            </w:r>
            <w:r>
              <w:rPr>
                <w:rFonts w:hint="cs" w:ascii="方正书宋_GBK" w:eastAsia="方正书宋_GBK"/>
              </w:rPr>
              <w:t>“</w:t>
            </w:r>
            <w:r>
              <w:rPr>
                <w:rFonts w:hint="eastAsia" w:ascii="方正书宋_GBK" w:eastAsia="方正书宋_GBK"/>
              </w:rPr>
              <w:t>三夏</w:t>
            </w:r>
            <w:r>
              <w:rPr>
                <w:rFonts w:hint="cs" w:ascii="方正书宋_GBK" w:eastAsia="方正书宋_GBK"/>
              </w:rPr>
              <w:t>”</w:t>
            </w:r>
            <w:r>
              <w:rPr>
                <w:rFonts w:hint="eastAsia" w:ascii="方正书宋_GBK" w:eastAsia="方正书宋_GBK"/>
              </w:rPr>
              <w:t>、</w:t>
            </w:r>
            <w:r>
              <w:rPr>
                <w:rFonts w:hint="cs" w:ascii="方正书宋_GBK" w:eastAsia="方正书宋_GBK"/>
              </w:rPr>
              <w:t>“</w:t>
            </w:r>
            <w:r>
              <w:rPr>
                <w:rFonts w:hint="eastAsia" w:ascii="方正书宋_GBK" w:eastAsia="方正书宋_GBK"/>
              </w:rPr>
              <w:t>三秋</w:t>
            </w:r>
            <w:r>
              <w:rPr>
                <w:rFonts w:hint="cs" w:ascii="方正书宋_GBK" w:eastAsia="方正书宋_GBK"/>
              </w:rPr>
              <w:t>”</w:t>
            </w:r>
            <w:r>
              <w:rPr>
                <w:rFonts w:hint="eastAsia" w:ascii="方正书宋_GBK" w:eastAsia="方正书宋_GBK"/>
              </w:rPr>
              <w:t>农机安全隐患排查治理，做好农机事故处理和统计报告</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按时办结</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17</w:t>
            </w:r>
            <w:r>
              <w:rPr>
                <w:rFonts w:hint="eastAsia" w:ascii="方正书宋_GBK" w:eastAsia="方正书宋_GBK"/>
                <w:b/>
              </w:rPr>
              <w:t>、优质粮食建设节水灌溉工程</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优质粮食产业工程项目主要用于粮食高产创建示范片集成的实验示范，绿色增产模式创新粮食生产服务机制建设、高额丰产田建设观摩活动及测产验收等</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努力在粮食生产能力上挖掘潜力，在转变农业发展方式上寻求先突破</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优质粮食产业工程项目带动农业生产率的提升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18</w:t>
            </w:r>
            <w:r>
              <w:rPr>
                <w:rFonts w:hint="eastAsia" w:ascii="方正书宋_GBK" w:eastAsia="方正书宋_GBK"/>
                <w:b/>
              </w:rPr>
              <w:t>、农业技术推广与研究</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组织各方力量开展农业技术推广，建设农业创新团队，农业关键技术研究与应用示范，开展农业新技术推广、示范。</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开展农业新技术推广、示范，提高农业技术水平。</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新技术应用效益综合提升率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19</w:t>
            </w:r>
            <w:r>
              <w:rPr>
                <w:rFonts w:hint="eastAsia" w:ascii="方正书宋_GBK" w:eastAsia="方正书宋_GBK"/>
                <w:b/>
              </w:rPr>
              <w:t>、农产品展示交流</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农产品展示交易交流</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参观、参加上级开展、组织的交流、学习会议等，学习新技术新经验更好的提供农业服务</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参观学习次数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20</w:t>
            </w:r>
            <w:r>
              <w:rPr>
                <w:rFonts w:hint="eastAsia" w:ascii="方正书宋_GBK" w:eastAsia="方正书宋_GBK"/>
                <w:b/>
              </w:rPr>
              <w:t>、智慧农业建设</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通过现代信息技术在农业生产、管理、服务等领域的应用示范建立农业物联网数据交换共享和生产监控技术标准体系。</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探索农业物联网推广应用新模式，促进农业技术和信息技术的深度融合，充分发挥现代信息技术对现代农业发展的支撑和引领作用。</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建立农业投入品监管系统、农产品生产过程质量安全监管系统、农产品质量安全追溯及二维码溯源查询系统、农业物联网</w:t>
            </w:r>
            <w:r>
              <w:rPr>
                <w:rFonts w:ascii="方正书宋_GBK" w:eastAsia="方正书宋_GBK"/>
              </w:rPr>
              <w:t>3</w:t>
            </w:r>
            <w:r>
              <w:rPr>
                <w:rFonts w:hint="eastAsia" w:ascii="方正书宋_GBK" w:eastAsia="方正书宋_GBK"/>
              </w:rPr>
              <w:t>个点</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五、完善农村经济经营管理体制</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83.00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推进农村集体产权制度改革，完善农村土地承包制度，引导农村土地合理流转。创新农业经营主体。</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规范流转行为，优化资源配置，促进农民专业合作经济组织健康发展，加快新农村建设和城镇化进程。</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、土地承包经营权确权登记颁证</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根据国家及省市要求开展农村土地承包经营确权登记颁证工作。</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进一步完善农村土地承包关系，保护农民利益，促进规模化经营。</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确权外调公示无异议率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年度内确权村数完成率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确权外调面积完成率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、农村财务、理财小组成员、合作社财务人员业务、法律法规培训</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30.00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根据《河北省村集体财务条例》要求每年要对农村财务人员进行业务培训，根据《农民专业合作社财务会计制度（试行）》要求，对合作社会计工作进行指导和监督。</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提高农村财务人员、合作社财务人员业务素质</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农经站人员参训率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村级财务人员参训率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培训合格率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、农村产权制度改革清产核资</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3.00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根据市委、市政府《关于稳步推进农村集体产权制度改革的指导意见》完成农村集体资产清产核资工作，为村集体办理农村集体经济组织登记赋码并发放《农村集体经济组织登记证》。</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完成全区村级清产核资工作</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数据上报村数</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清产核资完成村数</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完成时间进度</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2019</w:t>
            </w:r>
            <w:r>
              <w:rPr>
                <w:rFonts w:hint="eastAsia" w:ascii="方正书宋_GBK" w:eastAsia="方正书宋_GBK"/>
              </w:rPr>
              <w:t>年</w:t>
            </w:r>
            <w:r>
              <w:rPr>
                <w:rFonts w:ascii="方正书宋_GBK" w:eastAsia="方正书宋_GBK"/>
              </w:rPr>
              <w:t>12</w:t>
            </w:r>
            <w:r>
              <w:rPr>
                <w:rFonts w:hint="eastAsia" w:ascii="方正书宋_GBK" w:eastAsia="方正书宋_GBK"/>
              </w:rPr>
              <w:t>月底前</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2020</w:t>
            </w:r>
            <w:r>
              <w:rPr>
                <w:rFonts w:hint="eastAsia" w:ascii="方正书宋_GBK" w:eastAsia="方正书宋_GBK"/>
              </w:rPr>
              <w:t>年</w:t>
            </w:r>
            <w:r>
              <w:rPr>
                <w:rFonts w:ascii="方正书宋_GBK" w:eastAsia="方正书宋_GBK"/>
              </w:rPr>
              <w:t>6</w:t>
            </w:r>
            <w:r>
              <w:rPr>
                <w:rFonts w:hint="eastAsia" w:ascii="方正书宋_GBK" w:eastAsia="方正书宋_GBK"/>
              </w:rPr>
              <w:t>月底前</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2020</w:t>
            </w:r>
            <w:r>
              <w:rPr>
                <w:rFonts w:hint="eastAsia" w:ascii="方正书宋_GBK" w:eastAsia="方正书宋_GBK"/>
              </w:rPr>
              <w:t>年</w:t>
            </w:r>
            <w:r>
              <w:rPr>
                <w:rFonts w:ascii="方正书宋_GBK" w:eastAsia="方正书宋_GBK"/>
              </w:rPr>
              <w:t>12</w:t>
            </w:r>
            <w:r>
              <w:rPr>
                <w:rFonts w:hint="eastAsia" w:ascii="方正书宋_GBK" w:eastAsia="方正书宋_GBK"/>
              </w:rPr>
              <w:t>月底前</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2020</w:t>
            </w:r>
            <w:r>
              <w:rPr>
                <w:rFonts w:hint="eastAsia" w:ascii="方正书宋_GBK" w:eastAsia="方正书宋_GBK"/>
              </w:rPr>
              <w:t>年以后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、土地流转奖补</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50.00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鼓励农村土地承包经营权流转发展土地适度规模经营</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促进土地加速流转</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合同规范率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流转清册登记率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流转系统录入率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、农村土地承包合同仲裁</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公正、及时解决农村土地承包经营纠纷，维护当事人的合法权益</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解决农村土地承包纠纷</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仲裁员培训率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办公设备配套率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仲裁机构设立</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、新型农业经营主体示范补助</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扶持新型农业经营主体发展，充分发挥其示范带动作用</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促进新型农业经营主体发展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相符率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项目档案资料完整率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生产效益提升率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六、农牧渔业行政综合执法规范化建设</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15.30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承担农业行政综合执法责任。指导全市农业行政综合执法工作，依法对农作物种子、农药、肥料等农业投入品实施监督检查。贯彻执行上级有关牧渔业的方针、政策和法律法规。负责全市牧渔产品质量安全、动物防疫、动物卫生、兽医医政药政、种畜禽管理、渔政渔种管理、畜牧水产饲料及饲料添加剂等行政执法监督工作的组织协调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开展农业行政综合执法体系建设，提升农业行政综合执法能力，提高农业行政综合执法效能。查处农资违法违规案件，维护农资市场秩序。</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、动物卫生监督执法</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执法规范化建设，更新执法办案设备；实施定期监督巡查、联合检查、专项检查，依法对上级交办和重大、复杂、跨区域的违法案件进行查处；依法处罚动物卫生违法行为；组织开展执法宣传培训、案卷评查、案例研讨；加强信息化建设及应急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保障动物及动物产品安全</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监督频次达到上级要求，动物卫生违法行为及时得到查处</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、渔政执法</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加强执法规范化建设，宣传渔业法律法规，维护渔业生产秩序。强化水产养殖和捕捞渔船监督管理，加大执法检查力度。打击使用国家禁用药物或者淘汰的饲料、饲料添加剂的违法行为。</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完善执法规范化建设相关制度，开展法律法规宣传，加强水产养殖户信息和捕捞渔船信息管理；查处违法行为，杜绝辖区内使用国家禁用药物或者淘汰的饲料、饲料添加剂的违法行为。</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开展水产养殖执法，排查渔业隐患，使辖区内无违法使用国家禁用药物行为</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健全执法规范化建设制度，开展法律法规宣传</w:t>
            </w:r>
            <w:r>
              <w:rPr>
                <w:rFonts w:ascii="方正书宋_GBK" w:eastAsia="方正书宋_GBK"/>
              </w:rPr>
              <w:t>2</w:t>
            </w:r>
            <w:r>
              <w:rPr>
                <w:rFonts w:hint="eastAsia" w:ascii="方正书宋_GBK" w:eastAsia="方正书宋_GBK"/>
              </w:rPr>
              <w:t>次以上</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更新完善水产养殖户和捕捞渔船信息并加强捕捞业渔船油价补贴管理工作</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、定点屠宰监管</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15.30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加强定点屠宰企业管理，打击私屠滥宰等违法活动，保证供应市场肉品的质量安全。通过对牛定点屠宰企业实施补贴，加强定点屠宰企业管理，严厉打击私屠滥宰行为，保证我市牛肉产品质量安全。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保证出厂肉品质量安全。严厉打击私屠滥宰行为，保证我区牛肉产品质量安全。对畜禽屠宰从业人员全员培训并考核合格。</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定点屠宰场驻场天数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250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、农业执法</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农业综合执法</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规范农资经营，提高执法水平</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案件办结率（</w:t>
            </w:r>
            <w:r>
              <w:rPr>
                <w:rFonts w:ascii="方正书宋_GBK" w:eastAsia="方正书宋_GBK"/>
              </w:rPr>
              <w:t>%</w:t>
            </w:r>
            <w:r>
              <w:rPr>
                <w:rFonts w:hint="eastAsia" w:ascii="方正书宋_GBK" w:eastAsia="方正书宋_GBK"/>
              </w:rPr>
              <w:t>）</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七、农业政务管理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615.54</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开展农业宣传，推动农业政策落实。推动各项农业工作的开展。</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保障各项农业工作的正常运行</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615.54</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调研提出规划和政策建议，工作部署、协调推动、普查统计、督促指导、对外合作、行政审批、业务监管及区委、政府交办的其他事项等行政管理事项。</w:t>
            </w:r>
          </w:p>
          <w:p>
            <w:pPr>
              <w:spacing w:line="300" w:lineRule="exact"/>
              <w:jc w:val="left"/>
              <w:rPr>
                <w:rFonts w:hint="eastAsia" w:ascii="方正书宋_GBK" w:eastAsia="方正书宋_GBK"/>
              </w:rPr>
            </w:pPr>
            <w:r>
              <w:rPr>
                <w:rFonts w:hint="eastAsia" w:ascii="方正书宋_GBK" w:eastAsia="方正书宋_GBK"/>
              </w:rPr>
              <w:t>贯彻落实上级和区委、区政府关于</w:t>
            </w:r>
            <w:r>
              <w:rPr>
                <w:rFonts w:hint="cs" w:ascii="方正书宋_GBK" w:eastAsia="方正书宋_GBK"/>
              </w:rPr>
              <w:t>“</w:t>
            </w:r>
            <w:r>
              <w:rPr>
                <w:rFonts w:hint="eastAsia" w:ascii="方正书宋_GBK" w:eastAsia="方正书宋_GBK"/>
              </w:rPr>
              <w:t>三农</w:t>
            </w:r>
            <w:r>
              <w:rPr>
                <w:rFonts w:hint="cs" w:ascii="方正书宋_GBK" w:eastAsia="方正书宋_GBK"/>
              </w:rPr>
              <w:t>”</w:t>
            </w:r>
            <w:r>
              <w:rPr>
                <w:rFonts w:hint="eastAsia" w:ascii="方正书宋_GBK" w:eastAsia="方正书宋_GBK"/>
              </w:rPr>
              <w:t>工作的决策部署，研究制定全区农业农村工作政策文件，对全区</w:t>
            </w:r>
            <w:r>
              <w:rPr>
                <w:rFonts w:hint="cs" w:ascii="方正书宋_GBK" w:eastAsia="方正书宋_GBK"/>
              </w:rPr>
              <w:t>“</w:t>
            </w:r>
            <w:r>
              <w:rPr>
                <w:rFonts w:hint="eastAsia" w:ascii="方正书宋_GBK" w:eastAsia="方正书宋_GBK"/>
              </w:rPr>
              <w:t>三农</w:t>
            </w:r>
            <w:r>
              <w:rPr>
                <w:rFonts w:hint="cs" w:ascii="方正书宋_GBK" w:eastAsia="方正书宋_GBK"/>
              </w:rPr>
              <w:t>”</w:t>
            </w:r>
            <w:r>
              <w:rPr>
                <w:rFonts w:hint="eastAsia" w:ascii="方正书宋_GBK" w:eastAsia="方正书宋_GBK"/>
              </w:rPr>
              <w:t>工作进行安排部署。</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紧密结合实际，提出有针对性和可操作性的政策措施建议；督导有关部门落实工作任务；研究破解农村改革发展中的瓶颈制约，为区委、区政府领导提供重要的决策参考。</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加强机关事务性管理，开展机关自身能力建设。</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加强机关事务性管理，提高机关自身工作能力。</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综合事务管理工作完成率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八、农业综合开发项目的组织管理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854.24</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根据国民经济和社会发展战略目标，制定全区农业综合开发总体规划和实施方案，对全区农业综合开发工作进行综合、协调、指导服务。贯彻执行全市农业综合开发方针、政策及规章制度。负责全区农业综合开发项目的筛选、认证、审查、申报；负责组织指导项目的实施检查验收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支持农业发展，巩固和加强农业基础地位、提高农业综合生产能力，支持农业参与国际竞争、推进农业现代化。</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、土地治理项目</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834.24</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规范、完善基本农田的基础设施建设，搞好基本农田的节水工作。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通过改善项目区基础设施建设，促进农民增收，农业增效，达到田成方、林成网、路相连、车相通。</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、产业化经营项目</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围绕畜牧、蔬菜、果品等优势主导产业，重点筛选扶持农产品加工、畜禽良繁和储藏保鲜、标准化、规模化基地建设项目。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集中资金扶持实力强、效益好、带动作用明显、可持续发展的项目，将项目做大做强，培育成示范项目，进一步发挥项目作用，促进产业发展。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九、推进新农村建设</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4455.30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实施美丽乡村、中心村、革命老区重点村建设，推进社会主义新农村建设和全面建成小康社会进程。</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通过实施美丽乡村、中心村、革命老区重点村建设，加快社会主义新农村建设进程。改善农村环境面貌，提升农民生产生活条件。</w:t>
            </w:r>
          </w:p>
          <w:p>
            <w:pPr>
              <w:spacing w:line="300" w:lineRule="exact"/>
              <w:jc w:val="left"/>
              <w:rPr>
                <w:rFonts w:hint="eastAsia" w:ascii="方正书宋_GBK" w:eastAsia="方正书宋_GBK"/>
              </w:rPr>
            </w:pPr>
            <w:r>
              <w:rPr>
                <w:rFonts w:hint="eastAsia" w:ascii="方正书宋_GBK" w:eastAsia="方正书宋_GBK"/>
              </w:rPr>
              <w:t>对美丽乡村的经营理念、经营定位、经营目标、经营载体等进行统筹谋划和精心策划，通过经营美丽乡村，推动农村经济发展、促进农民增收，为新农村建设提供产业支撑。</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、美丽乡村建设</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3533.44</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w:t>
            </w:r>
            <w:r>
              <w:rPr>
                <w:rFonts w:hint="cs" w:ascii="方正书宋_GBK" w:eastAsia="方正书宋_GBK"/>
              </w:rPr>
              <w:t>“</w:t>
            </w:r>
            <w:r>
              <w:rPr>
                <w:rFonts w:hint="eastAsia" w:ascii="方正书宋_GBK" w:eastAsia="方正书宋_GBK"/>
              </w:rPr>
              <w:t>环境美、产业美、精神美、生态美</w:t>
            </w:r>
            <w:r>
              <w:rPr>
                <w:rFonts w:hint="cs" w:ascii="方正书宋_GBK" w:eastAsia="方正书宋_GBK"/>
              </w:rPr>
              <w:t>”</w:t>
            </w:r>
            <w:r>
              <w:rPr>
                <w:rFonts w:hint="eastAsia" w:ascii="方正书宋_GBK" w:eastAsia="方正书宋_GBK"/>
              </w:rPr>
              <w:t>要求，大力推进美丽乡村建设。以改变农村</w:t>
            </w:r>
            <w:r>
              <w:rPr>
                <w:rFonts w:hint="cs" w:ascii="方正书宋_GBK" w:eastAsia="方正书宋_GBK"/>
              </w:rPr>
              <w:t>“</w:t>
            </w:r>
            <w:r>
              <w:rPr>
                <w:rFonts w:hint="eastAsia" w:ascii="方正书宋_GBK" w:eastAsia="方正书宋_GBK"/>
              </w:rPr>
              <w:t>脏乱差</w:t>
            </w:r>
            <w:r>
              <w:rPr>
                <w:rFonts w:hint="cs" w:ascii="方正书宋_GBK" w:eastAsia="方正书宋_GBK"/>
              </w:rPr>
              <w:t>”</w:t>
            </w:r>
            <w:r>
              <w:rPr>
                <w:rFonts w:hint="eastAsia" w:ascii="方正书宋_GBK" w:eastAsia="方正书宋_GBK"/>
              </w:rPr>
              <w:t>现象为重点，实现农村环境美；以推进农村污染治理和植树绿化为重点，实现农村生态美；以推进乡风文明建设为重点，实现农村精神美；以增加农民收入为重点，实现农村产业美。</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突出重点，因地制宜，按照分期分批推进的要求，每年选定一批重点村实施美丽乡村建设</w:t>
            </w:r>
            <w:r>
              <w:rPr>
                <w:rFonts w:ascii="方正书宋_GBK" w:eastAsia="方正书宋_GBK"/>
              </w:rPr>
              <w:t>12</w:t>
            </w:r>
            <w:r>
              <w:rPr>
                <w:rFonts w:hint="eastAsia" w:ascii="方正书宋_GBK" w:eastAsia="方正书宋_GBK"/>
              </w:rPr>
              <w:t>个专项行动。</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重点村改造提升任务完成率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美丽乡村建设达标率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、美丽乡村经营</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美丽乡村经营项目的招商引资。组织挖掘美丽乡村的文物古迹、民俗文化、民情村史和传统生产、生活方式及各类记忆符号。组织开展域内美丽乡村区位、交通、环境、资源和人文优势的整理汇总和招商信息的采集，为区委、区政府宣传推介美丽乡村提供依据。组织乡村负责人外出参观学习，发展乡村旅游、沟域经济、观光农业等优势特色产业。组织开展有关美丽乡村的节庆、展览、运动休闲等各类活动，开展旅游管理、厨艺技能、礼仪接待、传统手工艺等专业技能培训。指导农宅合作社的组建，盘活农村闲置房屋，增加农民收入，提升村集体经济实力。</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通过经营美丽乡村，将美丽乡村的品牌效应、优美环境转化为竞争力和生产力，走出一条建设</w:t>
            </w:r>
            <w:r>
              <w:rPr>
                <w:rFonts w:hint="cs" w:ascii="方正书宋_GBK" w:eastAsia="方正书宋_GBK"/>
              </w:rPr>
              <w:t>“</w:t>
            </w:r>
            <w:r>
              <w:rPr>
                <w:rFonts w:hint="eastAsia" w:ascii="方正书宋_GBK" w:eastAsia="方正书宋_GBK"/>
              </w:rPr>
              <w:t>美丽</w:t>
            </w:r>
            <w:r>
              <w:rPr>
                <w:rFonts w:hint="cs" w:ascii="方正书宋_GBK" w:eastAsia="方正书宋_GBK"/>
              </w:rPr>
              <w:t>”</w:t>
            </w:r>
            <w:r>
              <w:rPr>
                <w:rFonts w:hint="eastAsia" w:ascii="方正书宋_GBK" w:eastAsia="方正书宋_GBK"/>
              </w:rPr>
              <w:t>与经营</w:t>
            </w:r>
            <w:r>
              <w:rPr>
                <w:rFonts w:hint="cs" w:ascii="方正书宋_GBK" w:eastAsia="方正书宋_GBK"/>
              </w:rPr>
              <w:t>“</w:t>
            </w:r>
            <w:r>
              <w:rPr>
                <w:rFonts w:hint="eastAsia" w:ascii="方正书宋_GBK" w:eastAsia="方正书宋_GBK"/>
              </w:rPr>
              <w:t>美丽</w:t>
            </w:r>
            <w:r>
              <w:rPr>
                <w:rFonts w:hint="cs" w:ascii="方正书宋_GBK" w:eastAsia="方正书宋_GBK"/>
              </w:rPr>
              <w:t>”</w:t>
            </w:r>
            <w:r>
              <w:rPr>
                <w:rFonts w:hint="eastAsia" w:ascii="方正书宋_GBK" w:eastAsia="方正书宋_GBK"/>
              </w:rPr>
              <w:t>相统一，以美丽乡村带动农村发展、促进农民增收的新路子。</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经营好全区现有的省级美丽乡村以及今后获批的省级美丽乡村。</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经营好全区现有的省级美丽乡村以及今后获批的省级美丽乡村。</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、中心村建设</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推进新民居中心村示范工程建设，打造符合全面小康要求的新型农村社区和美丽乡村。</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按照三年建设周期，建设一批多种类型、有示范意义的新民居中心村示范点。</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新启动中心村示范点开工率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中心村示范点任务完成率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村民满意度</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、革命老区</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212.86</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通过对全区</w:t>
            </w:r>
            <w:r>
              <w:rPr>
                <w:rFonts w:ascii="方正书宋_GBK" w:eastAsia="方正书宋_GBK"/>
              </w:rPr>
              <w:t>12</w:t>
            </w:r>
            <w:r>
              <w:rPr>
                <w:rFonts w:hint="eastAsia" w:ascii="方正书宋_GBK" w:eastAsia="方正书宋_GBK"/>
              </w:rPr>
              <w:t>个革命老区重点村实施集中扶持和精准帮扶，加快推进老区村经济和社会各项事业实现快速发展，为全面建成小康社会奠定基础。</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实施基础设施提升、公共服务改善、优势产业发展、智力扶贫攻坚和两委班子带动等工程，革命老区重点村生产生活条件明显改善，环境面貌明显提升，行路难、吃水难、上学难、看病难和增收难等问题得到有效解决。</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基础设施提升、公共服务改善、优势产业发展、智力扶贫攻坚和两委班子带动等工程完成情况。</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通过石家庄市年终考核验收</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、农村人居环境整治工作</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709.00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改善农村人居环境，推进农村生活垃圾治理、开展厕所粪污治理、农村生活污水治理、提升村容村貌、加强村庄规划管理、完善建设和管护机制。为全面建成小康社会奠定坚实基础，更好地推动农村社会文明进步。</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开展农村人居环境整治，推进农村生活垃圾治理、开展厕所粪污治理、农村生活污水治理、提升村容村貌、加强村庄规划管理、完善建设和管护机制。加快社会主义新农村建设进程改善农村环境面貌，提升农民生产生活条件。</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行政村村域生活垃圾收集处理率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行政村卫生厕所普及率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74%</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行政村粪污资源化利用率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73%</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行政村主街道硬化率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通过省市年终验收</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、打响西山民宿品牌</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通过打造西山品牌民宿，快推动全区农业农村经济高质量发展，促进农民创业增收</w:t>
            </w:r>
            <w:r>
              <w:rPr>
                <w:rFonts w:ascii="方正书宋_GBK" w:eastAsia="方正书宋_GBK"/>
              </w:rPr>
              <w:t>,</w:t>
            </w:r>
            <w:r>
              <w:rPr>
                <w:rFonts w:hint="eastAsia" w:ascii="方正书宋_GBK" w:eastAsia="方正书宋_GBK"/>
              </w:rPr>
              <w:t>不断丰富乡村旅游产品</w:t>
            </w:r>
            <w:r>
              <w:rPr>
                <w:rFonts w:ascii="方正书宋_GBK" w:eastAsia="方正书宋_GBK"/>
              </w:rPr>
              <w:t xml:space="preserve">, </w:t>
            </w:r>
            <w:r>
              <w:rPr>
                <w:rFonts w:hint="eastAsia" w:ascii="方正书宋_GBK" w:eastAsia="方正书宋_GBK"/>
              </w:rPr>
              <w:t>实现全域旅游发展目标，构建</w:t>
            </w:r>
            <w:r>
              <w:rPr>
                <w:rFonts w:hint="cs" w:ascii="方正书宋_GBK" w:eastAsia="方正书宋_GBK"/>
              </w:rPr>
              <w:t>“</w:t>
            </w:r>
            <w:r>
              <w:rPr>
                <w:rFonts w:ascii="方正书宋_GBK" w:eastAsia="方正书宋_GBK"/>
              </w:rPr>
              <w:t>4+4”</w:t>
            </w:r>
            <w:r>
              <w:rPr>
                <w:rFonts w:hint="eastAsia" w:ascii="方正书宋_GBK" w:eastAsia="方正书宋_GBK"/>
              </w:rPr>
              <w:t>产业发展新格局，推动乡村振兴战略落地见效。</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通过大力发展民宿经济</w:t>
            </w:r>
            <w:r>
              <w:rPr>
                <w:rFonts w:ascii="方正书宋_GBK" w:eastAsia="方正书宋_GBK"/>
              </w:rPr>
              <w:t>,</w:t>
            </w:r>
            <w:r>
              <w:rPr>
                <w:rFonts w:hint="eastAsia" w:ascii="方正书宋_GBK" w:eastAsia="方正书宋_GBK"/>
              </w:rPr>
              <w:t>使鹿泉真正成为人们心目中的美丽环境、美丽经济、美好生活的乡愁旅游目的地。</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民宿建设情况</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民宿接待游客情况</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十、城乡垃圾处理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w:t>
            </w:r>
            <w:r>
              <w:rPr>
                <w:rFonts w:hint="cs" w:ascii="方正书宋_GBK" w:eastAsia="方正书宋_GBK"/>
              </w:rPr>
              <w:t>“</w:t>
            </w:r>
            <w:r>
              <w:rPr>
                <w:rFonts w:hint="eastAsia" w:ascii="方正书宋_GBK" w:eastAsia="方正书宋_GBK"/>
              </w:rPr>
              <w:t>农户分类、公司清运、镇村监管、区级处理</w:t>
            </w:r>
            <w:r>
              <w:rPr>
                <w:rFonts w:hint="cs" w:ascii="方正书宋_GBK" w:eastAsia="方正书宋_GBK"/>
              </w:rPr>
              <w:t>”</w:t>
            </w:r>
            <w:r>
              <w:rPr>
                <w:rFonts w:hint="eastAsia" w:ascii="方正书宋_GBK" w:eastAsia="方正书宋_GBK"/>
              </w:rPr>
              <w:t>运行模式，推行城乡垃圾处理一体化。</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通过推行</w:t>
            </w:r>
            <w:r>
              <w:rPr>
                <w:rFonts w:hint="cs" w:ascii="方正书宋_GBK" w:eastAsia="方正书宋_GBK"/>
              </w:rPr>
              <w:t>“</w:t>
            </w:r>
            <w:r>
              <w:rPr>
                <w:rFonts w:hint="eastAsia" w:ascii="方正书宋_GBK" w:eastAsia="方正书宋_GBK"/>
              </w:rPr>
              <w:t>农户分类、公司清运、镇村监管、区级处理</w:t>
            </w:r>
            <w:r>
              <w:rPr>
                <w:rFonts w:hint="cs" w:ascii="方正书宋_GBK" w:eastAsia="方正书宋_GBK"/>
              </w:rPr>
              <w:t>”</w:t>
            </w:r>
            <w:r>
              <w:rPr>
                <w:rFonts w:hint="eastAsia" w:ascii="方正书宋_GBK" w:eastAsia="方正书宋_GBK"/>
              </w:rPr>
              <w:t>的垃圾处理模式，构建</w:t>
            </w:r>
            <w:r>
              <w:rPr>
                <w:rFonts w:hint="cs" w:ascii="方正书宋_GBK" w:eastAsia="方正书宋_GBK"/>
              </w:rPr>
              <w:t>“</w:t>
            </w:r>
            <w:r>
              <w:rPr>
                <w:rFonts w:hint="eastAsia" w:ascii="方正书宋_GBK" w:eastAsia="方正书宋_GBK"/>
              </w:rPr>
              <w:t>全方位、无缝隙、全覆盖</w:t>
            </w:r>
            <w:r>
              <w:rPr>
                <w:rFonts w:hint="cs" w:ascii="方正书宋_GBK" w:eastAsia="方正书宋_GBK"/>
              </w:rPr>
              <w:t>”</w:t>
            </w:r>
            <w:r>
              <w:rPr>
                <w:rFonts w:hint="eastAsia" w:ascii="方正书宋_GBK" w:eastAsia="方正书宋_GBK"/>
              </w:rPr>
              <w:t>的城乡大环卫格局。</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、城乡垃圾</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开展农村生活垃圾治理专项行动，全面推行农村日常保洁整体服务外包的市场化运行机制。加强对镇、村两级及承包公司的监督管理，使农村处处干净整洁。</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逐步在全区建立起农村环境治理</w:t>
            </w:r>
            <w:r>
              <w:rPr>
                <w:rFonts w:hint="cs" w:ascii="方正书宋_GBK" w:eastAsia="方正书宋_GBK"/>
              </w:rPr>
              <w:t>“</w:t>
            </w:r>
            <w:r>
              <w:rPr>
                <w:rFonts w:hint="eastAsia" w:ascii="方正书宋_GBK" w:eastAsia="方正书宋_GBK"/>
              </w:rPr>
              <w:t>城乡管理一体化、环卫保洁市场化、垃圾处理无害化</w:t>
            </w:r>
            <w:r>
              <w:rPr>
                <w:rFonts w:hint="cs" w:ascii="方正书宋_GBK" w:eastAsia="方正书宋_GBK"/>
              </w:rPr>
              <w:t>”</w:t>
            </w:r>
            <w:r>
              <w:rPr>
                <w:rFonts w:hint="eastAsia" w:ascii="方正书宋_GBK" w:eastAsia="方正书宋_GBK"/>
              </w:rPr>
              <w:t>的三化新机制。实现垃圾</w:t>
            </w:r>
            <w:r>
              <w:rPr>
                <w:rFonts w:hint="cs" w:ascii="方正书宋_GBK" w:eastAsia="方正书宋_GBK"/>
              </w:rPr>
              <w:t>“</w:t>
            </w:r>
            <w:r>
              <w:rPr>
                <w:rFonts w:hint="eastAsia" w:ascii="方正书宋_GBK" w:eastAsia="方正书宋_GBK"/>
              </w:rPr>
              <w:t>收集运输全封闭、日产日清不落地</w:t>
            </w:r>
            <w:r>
              <w:rPr>
                <w:rFonts w:hint="cs" w:ascii="方正书宋_GBK" w:eastAsia="方正书宋_GBK"/>
              </w:rPr>
              <w:t>”</w:t>
            </w:r>
            <w:r>
              <w:rPr>
                <w:rFonts w:hint="eastAsia" w:ascii="方正书宋_GBK" w:eastAsia="方正书宋_GBK"/>
              </w:rPr>
              <w:t>的目标。</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垃圾清扫、清运、处理情况</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群众满意度</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十一、指导全区农业产业化工作</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通过指导、扶持农业龙头企业发展，实施农业产业化项目，推动龙头企业扩规模、创品牌、增效益，增强农业产业化经营实力。</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通过开展农业产业化工作，加快培育发展辐射面广、带动能力大、市场竞争能力强的国家、省、市级农业产业化龙头企业。提升全区农业产业化整体水平。</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、指导、扶持农业龙头企业发展</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按照农业产业化发展要求，深入实施龙头带动战略，促进龙头企业晋档升级，抓好企业品牌培育，着力打造一批在全省、全国影响力较大的农产品品牌。</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ascii="方正书宋_GBK" w:eastAsia="方正书宋_GBK"/>
              </w:rPr>
              <w:t xml:space="preserve"> </w:t>
            </w:r>
            <w:r>
              <w:rPr>
                <w:rFonts w:hint="eastAsia" w:ascii="方正书宋_GBK" w:eastAsia="方正书宋_GBK"/>
              </w:rPr>
              <w:t>全区围绕五大生产基地，打造不同特色的行业龙头。</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当年进入石家庄市级以上重点龙头企业</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农业产业化经营率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69%</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67%</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、实施农业产业化项目</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围绕龙头做大、产业做强、基地做优，谋划建设一批有行业规模、有产业特色、有市场占有率、有较强辐射带动力的重点项目。抓好一村一品工作。</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新建一批有行业规模、有产业特色、有市场前景、有较强辐射带动力的重点项目。通过项目建设，促进农业产业化提质增效。</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项目当年新完成投资数额</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项目当年新完成投资数额</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、组织开展农产品产地初加工补助项目建设，以果蔬烘干设施建设为主，试点开展果蔬储藏设施建设。通过实施补助项目，促进当地果蔬产业发展，提升产地初加工水平。</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通过实施农产品产地初加工补助项目，改善我区农产品产地初加工条件，减少产后损失，增加有效供给，促进农民增收，提升产地初加工水平。</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农产品加工转换率</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当年农产品加工转换率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当年农产品加工转换率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、支持北部农业观光园建设</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将北部农业观光园及周边村庄列为</w:t>
            </w:r>
            <w:r>
              <w:rPr>
                <w:rFonts w:ascii="方正书宋_GBK" w:eastAsia="方正书宋_GBK"/>
              </w:rPr>
              <w:t>2017</w:t>
            </w:r>
            <w:r>
              <w:rPr>
                <w:rFonts w:hint="eastAsia" w:ascii="方正书宋_GBK" w:eastAsia="方正书宋_GBK"/>
              </w:rPr>
              <w:t>年美丽乡村重点片区，通过争取上级资金，支持观光园建设。</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打造观光园周边新环境，以新环境推动观光园快速发展。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项目当年新完成投资数额</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项目当年新完成投资数额</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、组织参加农产品交易会</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按照省市有关要求，组织参加农产品交易会。</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通过参加农产品交易会，推进农业项目合资合作，扩大农产品交易。</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农产品订单额</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农产品订单额</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十二、西部山区综合开发</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w:t>
            </w:r>
            <w:r>
              <w:rPr>
                <w:rFonts w:hint="cs" w:ascii="方正书宋_GBK" w:eastAsia="方正书宋_GBK"/>
              </w:rPr>
              <w:t>“</w:t>
            </w:r>
            <w:r>
              <w:rPr>
                <w:rFonts w:hint="eastAsia" w:ascii="方正书宋_GBK" w:eastAsia="方正书宋_GBK"/>
              </w:rPr>
              <w:t>政府支持、市场运作、企业主体、农民参与</w:t>
            </w:r>
            <w:r>
              <w:rPr>
                <w:rFonts w:hint="cs" w:ascii="方正书宋_GBK" w:eastAsia="方正书宋_GBK"/>
              </w:rPr>
              <w:t>”</w:t>
            </w:r>
            <w:r>
              <w:rPr>
                <w:rFonts w:hint="eastAsia" w:ascii="方正书宋_GBK" w:eastAsia="方正书宋_GBK"/>
              </w:rPr>
              <w:t>的方式，在宜开发区域开发整理荒山，建设基础设施，发展特色产业，形成产销游一体、一二三产融合的综合性示范区。</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西部山区综合开发，坚持土地整治与土地利用总体规划相结合，开发建设与实际有效利用相结合，发展经济产业与生态环境保护相结合。</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、西部山区综合开发</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统筹山区土地整治，基础设施、特色经济和生态建设，开发整理荒山，推进西部山区道路、水利、供电、通讯、生产设施等基础设施建设，发展设施农业、节水农业、林果业、生态养殖、旅游观光和休闲农业等特色经济。</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通过实施西部山区综合开发，实现区域内荒山得到有效治理，土地得到有效利用，农民收入大幅度增加，生态得到明显改善。</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现代农业示范区开发面积</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项目当年新完成投资数额</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十三、指导推进农村改革</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全面深化农村重点领域、关键环节改革，加快推进农业农村体制机制创新，增强全区农村经济社会发展活力。全面推进村级民主管理制度体系和村务运作体系建设。</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全面深化农村重点领域、关键环节改革，加快推进农业农村体制机制创新，增强全区农村经济社会发展活力。使农业增效、农民增收、农村增活力。</w:t>
            </w:r>
          </w:p>
          <w:p>
            <w:pPr>
              <w:spacing w:line="300" w:lineRule="exact"/>
              <w:jc w:val="left"/>
              <w:rPr>
                <w:rFonts w:hint="eastAsia" w:ascii="方正书宋_GBK" w:eastAsia="方正书宋_GBK"/>
              </w:rPr>
            </w:pPr>
            <w:r>
              <w:rPr>
                <w:rFonts w:hint="eastAsia" w:ascii="方正书宋_GBK" w:eastAsia="方正书宋_GBK"/>
              </w:rPr>
              <w:t>全面推进村级民主管理制度体系和村务运作体系建设。</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、指导农村股份合作制改革</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300.00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开展以清产核资、清查人口、量化资产、界定资格、配置股权、制定章程、设置机构、发放股权证书、注册登记为主要内容的农村集体产权制度改革。</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构建</w:t>
            </w:r>
            <w:r>
              <w:rPr>
                <w:rFonts w:hint="cs" w:ascii="方正书宋_GBK" w:eastAsia="方正书宋_GBK"/>
              </w:rPr>
              <w:t>“</w:t>
            </w:r>
            <w:r>
              <w:rPr>
                <w:rFonts w:hint="eastAsia" w:ascii="方正书宋_GBK" w:eastAsia="方正书宋_GBK"/>
              </w:rPr>
              <w:t>归属清晰、权责明确、利益共享、保护严格、运转规范、监管有力</w:t>
            </w:r>
            <w:r>
              <w:rPr>
                <w:rFonts w:hint="cs" w:ascii="方正书宋_GBK" w:eastAsia="方正书宋_GBK"/>
              </w:rPr>
              <w:t>”</w:t>
            </w:r>
            <w:r>
              <w:rPr>
                <w:rFonts w:hint="eastAsia" w:ascii="方正书宋_GBK" w:eastAsia="方正书宋_GBK"/>
              </w:rPr>
              <w:t>的农村集体产权制度；建立起适应城乡一体化发展的新型农村集体经济管理体制与运营机制，不断壮大集体经济实力，不断增加农民的财产性收入。</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试点村注册登记完成率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在区行政审批部门或相关部门办理完毕注册登记手续</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、落实农业和农村体制改革专项小组牵头工作</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牵头督导协调区委全面深化改革领导小组给农业农村体制改革专项小组部署的推进农村土地和产权制度改革、创新农业经营体系等任务的落实。</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推进农业农村体制改革专项小组年度改革任务的完成，加快我区农业农村体制机制创新，增强全区农村经济社会发展活力。</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月报、总结上报率及需调度工作的调度率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、深化村级财富积累机制</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恢复和建立集体经济组织；引导有条件的村级集体经济组织，利用村集体优质资产，采取独自、控股、参股等形式，组建具有独立法人资格的公司实体。</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发展农村主导产业，培育新的集体经济增长点，探索新的集体经济实现形式，不断增加村级集体财富积累，壮大村级集体经济实力，带动村级集体公益事业发展，为新农村建设提供资金支撑。</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村集体经营性年收入增长率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0.3%</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、农村村务公开民主管理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全面推行村务公开民主管理</w:t>
            </w:r>
            <w:r>
              <w:rPr>
                <w:rFonts w:hint="cs" w:ascii="方正书宋_GBK" w:eastAsia="方正书宋_GBK"/>
              </w:rPr>
              <w:t>“</w:t>
            </w:r>
            <w:r>
              <w:rPr>
                <w:rFonts w:hint="eastAsia" w:ascii="方正书宋_GBK" w:eastAsia="方正书宋_GBK"/>
              </w:rPr>
              <w:t>四统一四延伸一测评</w:t>
            </w:r>
            <w:r>
              <w:rPr>
                <w:rFonts w:hint="cs" w:ascii="方正书宋_GBK" w:eastAsia="方正书宋_GBK"/>
              </w:rPr>
              <w:t>”</w:t>
            </w:r>
            <w:r>
              <w:rPr>
                <w:rFonts w:hint="eastAsia" w:ascii="方正书宋_GBK" w:eastAsia="方正书宋_GBK"/>
              </w:rPr>
              <w:t>工作机制。负责村级民主管理制度体系和村务运作体系建设，对全区村务工作、民主建设工作进行检查指导，协助有关部门抓好农村基层组织建设。</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通过对村务工作、民主管理工作的督导检查，实现</w:t>
            </w:r>
            <w:r>
              <w:rPr>
                <w:rFonts w:hint="cs" w:ascii="方正书宋_GBK" w:eastAsia="方正书宋_GBK"/>
              </w:rPr>
              <w:t>“</w:t>
            </w:r>
            <w:r>
              <w:rPr>
                <w:rFonts w:hint="eastAsia" w:ascii="方正书宋_GBK" w:eastAsia="方正书宋_GBK"/>
              </w:rPr>
              <w:t>五规范一满意</w:t>
            </w:r>
            <w:r>
              <w:rPr>
                <w:rFonts w:hint="cs" w:ascii="方正书宋_GBK" w:eastAsia="方正书宋_GBK"/>
              </w:rPr>
              <w:t>”</w:t>
            </w:r>
            <w:r>
              <w:rPr>
                <w:rFonts w:hint="eastAsia" w:ascii="方正书宋_GBK" w:eastAsia="方正书宋_GBK"/>
              </w:rPr>
              <w:t>的任务目标，提高我区农村村务公开水平和群众满意率。</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村务公开工作群众满意率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&lt;70%</w:t>
            </w:r>
          </w:p>
        </w:tc>
      </w:tr>
    </w:tbl>
    <w:p>
      <w:pPr>
        <w:autoSpaceDE w:val="0"/>
        <w:autoSpaceDN w:val="0"/>
        <w:adjustRightInd w:val="0"/>
        <w:ind w:left="200"/>
        <w:jc w:val="left"/>
        <w:rPr>
          <w:rFonts w:ascii="宋体" w:eastAsia="宋体" w:cs="宋体"/>
          <w:kern w:val="0"/>
          <w:sz w:val="18"/>
          <w:szCs w:val="18"/>
          <w:lang w:val="zh-CN"/>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highlight w:val="none"/>
        </w:rPr>
      </w:pPr>
      <w:r>
        <w:rPr>
          <w:rFonts w:hint="eastAsia" w:ascii="黑体" w:hAnsi="黑体" w:eastAsia="黑体" w:cs="Times New Roman"/>
          <w:sz w:val="32"/>
          <w:szCs w:val="32"/>
          <w:highlight w:val="none"/>
        </w:rPr>
        <w:t>六、政府采购预算情况</w:t>
      </w:r>
    </w:p>
    <w:p>
      <w:pPr>
        <w:outlineLvl w:val="0"/>
        <w:rPr>
          <w:rFonts w:hint="eastAsia" w:ascii="仿宋" w:hAnsi="仿宋" w:eastAsia="仿宋" w:cs="仿宋"/>
          <w:sz w:val="32"/>
          <w:szCs w:val="32"/>
          <w:highlight w:val="none"/>
        </w:rPr>
      </w:pPr>
      <w:bookmarkStart w:id="1" w:name="_Toc471398468"/>
      <w:r>
        <w:rPr>
          <w:rFonts w:ascii="Times New Roman" w:hAnsi="Times New Roman" w:eastAsia="方正仿宋_GBK" w:cs="Times New Roman"/>
          <w:sz w:val="32"/>
          <w:szCs w:val="24"/>
          <w:highlight w:val="none"/>
        </w:rPr>
        <w:t xml:space="preserve">   </w:t>
      </w:r>
      <w:r>
        <w:rPr>
          <w:rFonts w:hint="eastAsia" w:ascii="仿宋" w:hAnsi="仿宋" w:eastAsia="仿宋" w:cs="仿宋"/>
          <w:sz w:val="32"/>
          <w:szCs w:val="32"/>
          <w:highlight w:val="none"/>
        </w:rPr>
        <w:t>2019年，我</w:t>
      </w:r>
      <w:r>
        <w:rPr>
          <w:rFonts w:hint="eastAsia" w:ascii="仿宋" w:hAnsi="仿宋" w:eastAsia="仿宋" w:cs="仿宋"/>
          <w:sz w:val="32"/>
          <w:szCs w:val="32"/>
          <w:highlight w:val="none"/>
          <w:lang w:eastAsia="zh-CN"/>
        </w:rPr>
        <w:t>部门</w:t>
      </w:r>
      <w:r>
        <w:rPr>
          <w:rFonts w:hint="eastAsia" w:ascii="仿宋" w:hAnsi="仿宋" w:eastAsia="仿宋" w:cs="仿宋"/>
          <w:sz w:val="32"/>
          <w:szCs w:val="32"/>
          <w:highlight w:val="none"/>
        </w:rPr>
        <w:t>安排政府采购预算</w:t>
      </w:r>
      <w:r>
        <w:rPr>
          <w:rFonts w:hint="eastAsia" w:ascii="仿宋" w:hAnsi="仿宋" w:eastAsia="仿宋" w:cs="仿宋"/>
          <w:sz w:val="32"/>
          <w:szCs w:val="32"/>
          <w:highlight w:val="none"/>
          <w:lang w:val="en-US" w:eastAsia="zh-CN"/>
        </w:rPr>
        <w:t>685</w:t>
      </w:r>
      <w:r>
        <w:rPr>
          <w:rFonts w:hint="eastAsia" w:ascii="仿宋" w:hAnsi="仿宋" w:eastAsia="仿宋" w:cs="仿宋"/>
          <w:sz w:val="32"/>
          <w:szCs w:val="32"/>
          <w:highlight w:val="none"/>
        </w:rPr>
        <w:t>万元。具体内容见下表。</w:t>
      </w:r>
    </w:p>
    <w:p>
      <w:pPr>
        <w:jc w:val="center"/>
        <w:outlineLvl w:val="0"/>
        <w:rPr>
          <w:rFonts w:ascii="方正小标宋_GBK" w:hAnsi="Times New Roman" w:eastAsia="方正小标宋_GBK" w:cs="Times New Roman"/>
          <w:sz w:val="32"/>
          <w:szCs w:val="24"/>
          <w:highlight w:val="none"/>
        </w:rPr>
      </w:pPr>
      <w:r>
        <w:rPr>
          <w:rFonts w:hint="eastAsia" w:ascii="方正小标宋_GBK" w:hAnsi="Times New Roman" w:eastAsia="方正小标宋_GBK" w:cs="Times New Roman"/>
          <w:sz w:val="32"/>
          <w:szCs w:val="24"/>
          <w:highlight w:val="none"/>
        </w:rPr>
        <w:t>部门政府采购预算</w:t>
      </w:r>
      <w:bookmarkEnd w:id="1"/>
    </w:p>
    <w:tbl>
      <w:tblPr>
        <w:tblStyle w:val="12"/>
        <w:tblW w:w="1456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48"/>
        <w:gridCol w:w="1099"/>
        <w:gridCol w:w="974"/>
        <w:gridCol w:w="986"/>
        <w:gridCol w:w="760"/>
        <w:gridCol w:w="760"/>
        <w:gridCol w:w="848"/>
        <w:gridCol w:w="961"/>
        <w:gridCol w:w="961"/>
        <w:gridCol w:w="961"/>
        <w:gridCol w:w="961"/>
        <w:gridCol w:w="964"/>
        <w:gridCol w:w="964"/>
        <w:gridCol w:w="92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7875"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326</w:t>
            </w:r>
            <w:r>
              <w:rPr>
                <w:rFonts w:hint="eastAsia" w:ascii="方正小标宋_GBK" w:eastAsia="方正小标宋_GBK"/>
                <w:sz w:val="24"/>
              </w:rPr>
              <w:t>石家庄市鹿泉区农业</w:t>
            </w:r>
            <w:r>
              <w:rPr>
                <w:rFonts w:hint="eastAsia" w:ascii="方正小标宋_GBK" w:eastAsia="方正小标宋_GBK"/>
                <w:sz w:val="24"/>
                <w:lang w:eastAsia="zh-CN"/>
              </w:rPr>
              <w:t>农村</w:t>
            </w:r>
            <w:r>
              <w:rPr>
                <w:rFonts w:hint="eastAsia" w:ascii="方正小标宋_GBK" w:eastAsia="方正小标宋_GBK"/>
                <w:sz w:val="24"/>
              </w:rPr>
              <w:t>局</w:t>
            </w:r>
          </w:p>
        </w:tc>
        <w:tc>
          <w:tcPr>
            <w:tcW w:w="6693"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3547"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97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98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760"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r>
              <w:rPr>
                <w:rFonts w:ascii="方正书宋_GBK" w:eastAsia="方正书宋_GBK"/>
                <w:b/>
              </w:rPr>
              <w:t xml:space="preserve">  </w:t>
            </w:r>
            <w:r>
              <w:rPr>
                <w:rFonts w:hint="eastAsia" w:ascii="方正书宋_GBK" w:eastAsia="方正书宋_GBK"/>
                <w:b/>
              </w:rPr>
              <w:t>单位</w:t>
            </w:r>
          </w:p>
        </w:tc>
        <w:tc>
          <w:tcPr>
            <w:tcW w:w="760"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848"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6693" w:type="dxa"/>
            <w:gridSpan w:val="7"/>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48"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109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974" w:type="dxa"/>
            <w:vMerge w:val="continue"/>
            <w:shd w:val="clear" w:color="auto" w:fill="auto"/>
            <w:vAlign w:val="center"/>
          </w:tcPr>
          <w:p>
            <w:pPr>
              <w:spacing w:line="300" w:lineRule="exact"/>
              <w:jc w:val="left"/>
              <w:outlineLvl w:val="0"/>
            </w:pPr>
          </w:p>
        </w:tc>
        <w:tc>
          <w:tcPr>
            <w:tcW w:w="986" w:type="dxa"/>
            <w:vMerge w:val="continue"/>
            <w:shd w:val="clear" w:color="auto" w:fill="auto"/>
            <w:vAlign w:val="center"/>
          </w:tcPr>
          <w:p>
            <w:pPr>
              <w:spacing w:line="300" w:lineRule="exact"/>
              <w:jc w:val="left"/>
              <w:outlineLvl w:val="0"/>
            </w:pPr>
          </w:p>
        </w:tc>
        <w:tc>
          <w:tcPr>
            <w:tcW w:w="760" w:type="dxa"/>
            <w:vMerge w:val="continue"/>
            <w:shd w:val="clear" w:color="auto" w:fill="auto"/>
            <w:vAlign w:val="center"/>
          </w:tcPr>
          <w:p>
            <w:pPr>
              <w:spacing w:line="300" w:lineRule="exact"/>
              <w:jc w:val="left"/>
              <w:outlineLvl w:val="0"/>
            </w:pPr>
          </w:p>
        </w:tc>
        <w:tc>
          <w:tcPr>
            <w:tcW w:w="760" w:type="dxa"/>
            <w:vMerge w:val="continue"/>
            <w:shd w:val="clear" w:color="auto" w:fill="auto"/>
            <w:vAlign w:val="center"/>
          </w:tcPr>
          <w:p>
            <w:pPr>
              <w:spacing w:line="300" w:lineRule="exact"/>
              <w:jc w:val="left"/>
              <w:outlineLvl w:val="0"/>
            </w:pPr>
          </w:p>
        </w:tc>
        <w:tc>
          <w:tcPr>
            <w:tcW w:w="848" w:type="dxa"/>
            <w:vMerge w:val="continue"/>
            <w:shd w:val="clear" w:color="auto" w:fill="auto"/>
            <w:vAlign w:val="center"/>
          </w:tcPr>
          <w:p>
            <w:pPr>
              <w:spacing w:line="300" w:lineRule="exact"/>
              <w:jc w:val="left"/>
              <w:outlineLvl w:val="0"/>
            </w:pPr>
          </w:p>
        </w:tc>
        <w:tc>
          <w:tcPr>
            <w:tcW w:w="96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总计</w:t>
            </w:r>
          </w:p>
        </w:tc>
        <w:tc>
          <w:tcPr>
            <w:tcW w:w="4811" w:type="dxa"/>
            <w:gridSpan w:val="5"/>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当年部门预算安排资金</w:t>
            </w:r>
          </w:p>
        </w:tc>
        <w:tc>
          <w:tcPr>
            <w:tcW w:w="92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48" w:type="dxa"/>
            <w:vMerge w:val="continue"/>
            <w:shd w:val="clear" w:color="auto" w:fill="auto"/>
            <w:vAlign w:val="center"/>
          </w:tcPr>
          <w:p>
            <w:pPr>
              <w:spacing w:line="300" w:lineRule="exact"/>
              <w:jc w:val="left"/>
              <w:outlineLvl w:val="0"/>
            </w:pPr>
          </w:p>
        </w:tc>
        <w:tc>
          <w:tcPr>
            <w:tcW w:w="1099" w:type="dxa"/>
            <w:vMerge w:val="continue"/>
            <w:shd w:val="clear" w:color="auto" w:fill="auto"/>
            <w:vAlign w:val="center"/>
          </w:tcPr>
          <w:p>
            <w:pPr>
              <w:spacing w:line="300" w:lineRule="exact"/>
              <w:jc w:val="left"/>
              <w:outlineLvl w:val="0"/>
            </w:pPr>
          </w:p>
        </w:tc>
        <w:tc>
          <w:tcPr>
            <w:tcW w:w="974" w:type="dxa"/>
            <w:vMerge w:val="continue"/>
            <w:shd w:val="clear" w:color="auto" w:fill="auto"/>
            <w:vAlign w:val="center"/>
          </w:tcPr>
          <w:p>
            <w:pPr>
              <w:spacing w:line="300" w:lineRule="exact"/>
              <w:jc w:val="left"/>
              <w:outlineLvl w:val="0"/>
            </w:pPr>
          </w:p>
        </w:tc>
        <w:tc>
          <w:tcPr>
            <w:tcW w:w="986" w:type="dxa"/>
            <w:vMerge w:val="continue"/>
            <w:shd w:val="clear" w:color="auto" w:fill="auto"/>
            <w:vAlign w:val="center"/>
          </w:tcPr>
          <w:p>
            <w:pPr>
              <w:spacing w:line="300" w:lineRule="exact"/>
              <w:jc w:val="left"/>
              <w:outlineLvl w:val="0"/>
            </w:pPr>
          </w:p>
        </w:tc>
        <w:tc>
          <w:tcPr>
            <w:tcW w:w="760" w:type="dxa"/>
            <w:vMerge w:val="continue"/>
            <w:shd w:val="clear" w:color="auto" w:fill="auto"/>
            <w:vAlign w:val="center"/>
          </w:tcPr>
          <w:p>
            <w:pPr>
              <w:spacing w:line="300" w:lineRule="exact"/>
              <w:jc w:val="left"/>
              <w:outlineLvl w:val="0"/>
            </w:pPr>
          </w:p>
        </w:tc>
        <w:tc>
          <w:tcPr>
            <w:tcW w:w="760" w:type="dxa"/>
            <w:vMerge w:val="continue"/>
            <w:shd w:val="clear" w:color="auto" w:fill="auto"/>
            <w:vAlign w:val="center"/>
          </w:tcPr>
          <w:p>
            <w:pPr>
              <w:spacing w:line="300" w:lineRule="exact"/>
              <w:jc w:val="left"/>
              <w:outlineLvl w:val="0"/>
            </w:pPr>
          </w:p>
        </w:tc>
        <w:tc>
          <w:tcPr>
            <w:tcW w:w="848" w:type="dxa"/>
            <w:vMerge w:val="continue"/>
            <w:shd w:val="clear" w:color="auto" w:fill="auto"/>
            <w:vAlign w:val="center"/>
          </w:tcPr>
          <w:p>
            <w:pPr>
              <w:spacing w:line="300" w:lineRule="exact"/>
              <w:jc w:val="left"/>
              <w:outlineLvl w:val="0"/>
            </w:pPr>
          </w:p>
        </w:tc>
        <w:tc>
          <w:tcPr>
            <w:tcW w:w="961" w:type="dxa"/>
            <w:vMerge w:val="continue"/>
            <w:shd w:val="clear" w:color="auto" w:fill="auto"/>
            <w:vAlign w:val="center"/>
          </w:tcPr>
          <w:p>
            <w:pPr>
              <w:spacing w:line="300" w:lineRule="exact"/>
              <w:jc w:val="left"/>
              <w:outlineLvl w:val="0"/>
            </w:pPr>
          </w:p>
        </w:tc>
        <w:tc>
          <w:tcPr>
            <w:tcW w:w="96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96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96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96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96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其他来源收入</w:t>
            </w:r>
          </w:p>
        </w:tc>
        <w:tc>
          <w:tcPr>
            <w:tcW w:w="921" w:type="dxa"/>
            <w:vMerge w:val="continue"/>
            <w:shd w:val="clear" w:color="auto" w:fill="auto"/>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099" w:type="dxa"/>
            <w:shd w:val="clear" w:color="auto" w:fill="auto"/>
            <w:vAlign w:val="center"/>
          </w:tcPr>
          <w:p>
            <w:pPr>
              <w:spacing w:line="300" w:lineRule="exact"/>
              <w:jc w:val="right"/>
              <w:rPr>
                <w:rFonts w:ascii="方正书宋_GBK" w:eastAsia="方正书宋_GBK"/>
                <w:b/>
              </w:rPr>
            </w:pPr>
          </w:p>
        </w:tc>
        <w:tc>
          <w:tcPr>
            <w:tcW w:w="974" w:type="dxa"/>
            <w:shd w:val="clear" w:color="auto" w:fill="auto"/>
            <w:vAlign w:val="center"/>
          </w:tcPr>
          <w:p>
            <w:pPr>
              <w:spacing w:line="300" w:lineRule="exact"/>
              <w:jc w:val="left"/>
              <w:rPr>
                <w:rFonts w:ascii="方正书宋_GBK" w:eastAsia="方正书宋_GBK"/>
                <w:b/>
              </w:rPr>
            </w:pPr>
          </w:p>
        </w:tc>
        <w:tc>
          <w:tcPr>
            <w:tcW w:w="986"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right"/>
              <w:rPr>
                <w:rFonts w:ascii="方正书宋_GBK" w:eastAsia="方正书宋_GBK"/>
                <w:b/>
              </w:rPr>
            </w:pPr>
          </w:p>
        </w:tc>
        <w:tc>
          <w:tcPr>
            <w:tcW w:w="848" w:type="dxa"/>
            <w:shd w:val="clear" w:color="auto" w:fill="auto"/>
            <w:vAlign w:val="center"/>
          </w:tcPr>
          <w:p>
            <w:pPr>
              <w:spacing w:line="300" w:lineRule="exact"/>
              <w:jc w:val="right"/>
              <w:rPr>
                <w:rFonts w:ascii="方正书宋_GBK" w:eastAsia="方正书宋_GBK"/>
                <w:b/>
              </w:rPr>
            </w:pP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685.00</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685.00</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135.00</w:t>
            </w:r>
          </w:p>
        </w:tc>
        <w:tc>
          <w:tcPr>
            <w:tcW w:w="961"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r>
              <w:rPr>
                <w:rFonts w:ascii="方正书宋_GBK" w:eastAsia="方正书宋_GBK"/>
                <w:b/>
              </w:rPr>
              <w:t>550.00</w:t>
            </w:r>
          </w:p>
        </w:tc>
        <w:tc>
          <w:tcPr>
            <w:tcW w:w="921"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center"/>
              <w:rPr>
                <w:rFonts w:hint="eastAsia" w:ascii="方正书宋_GBK" w:eastAsia="方正书宋_GBK"/>
                <w:b/>
              </w:rPr>
            </w:pPr>
            <w:r>
              <w:rPr>
                <w:rFonts w:hint="eastAsia" w:ascii="方正书宋_GBK" w:eastAsia="方正书宋_GBK"/>
                <w:b/>
              </w:rPr>
              <w:t>石家庄市鹿泉区农业畜牧局小计</w:t>
            </w:r>
          </w:p>
        </w:tc>
        <w:tc>
          <w:tcPr>
            <w:tcW w:w="1099" w:type="dxa"/>
            <w:shd w:val="clear" w:color="auto" w:fill="auto"/>
            <w:vAlign w:val="center"/>
          </w:tcPr>
          <w:p>
            <w:pPr>
              <w:spacing w:line="300" w:lineRule="exact"/>
              <w:jc w:val="right"/>
              <w:rPr>
                <w:rFonts w:ascii="方正书宋_GBK" w:eastAsia="方正书宋_GBK"/>
                <w:b/>
              </w:rPr>
            </w:pPr>
          </w:p>
        </w:tc>
        <w:tc>
          <w:tcPr>
            <w:tcW w:w="974" w:type="dxa"/>
            <w:shd w:val="clear" w:color="auto" w:fill="auto"/>
            <w:vAlign w:val="center"/>
          </w:tcPr>
          <w:p>
            <w:pPr>
              <w:spacing w:line="300" w:lineRule="exact"/>
              <w:jc w:val="left"/>
              <w:rPr>
                <w:rFonts w:ascii="方正书宋_GBK" w:eastAsia="方正书宋_GBK"/>
                <w:b/>
              </w:rPr>
            </w:pPr>
          </w:p>
        </w:tc>
        <w:tc>
          <w:tcPr>
            <w:tcW w:w="986"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right"/>
              <w:rPr>
                <w:rFonts w:ascii="方正书宋_GBK" w:eastAsia="方正书宋_GBK"/>
                <w:b/>
              </w:rPr>
            </w:pPr>
          </w:p>
        </w:tc>
        <w:tc>
          <w:tcPr>
            <w:tcW w:w="848" w:type="dxa"/>
            <w:shd w:val="clear" w:color="auto" w:fill="auto"/>
            <w:vAlign w:val="center"/>
          </w:tcPr>
          <w:p>
            <w:pPr>
              <w:spacing w:line="300" w:lineRule="exact"/>
              <w:jc w:val="right"/>
              <w:rPr>
                <w:rFonts w:ascii="方正书宋_GBK" w:eastAsia="方正书宋_GBK"/>
                <w:b/>
              </w:rPr>
            </w:pP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660.00</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660.00</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110.00</w:t>
            </w:r>
          </w:p>
        </w:tc>
        <w:tc>
          <w:tcPr>
            <w:tcW w:w="961"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r>
              <w:rPr>
                <w:rFonts w:ascii="方正书宋_GBK" w:eastAsia="方正书宋_GBK"/>
                <w:b/>
              </w:rPr>
              <w:t>550.00</w:t>
            </w:r>
          </w:p>
        </w:tc>
        <w:tc>
          <w:tcPr>
            <w:tcW w:w="921"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农业综合开发高标准农田建设项目资金</w:t>
            </w:r>
          </w:p>
        </w:tc>
        <w:tc>
          <w:tcPr>
            <w:tcW w:w="1099" w:type="dxa"/>
            <w:shd w:val="clear" w:color="auto" w:fill="auto"/>
            <w:vAlign w:val="center"/>
          </w:tcPr>
          <w:p>
            <w:pPr>
              <w:spacing w:line="300" w:lineRule="exact"/>
              <w:jc w:val="right"/>
              <w:rPr>
                <w:rFonts w:ascii="方正书宋_GBK" w:eastAsia="方正书宋_GBK"/>
              </w:rPr>
            </w:pPr>
            <w:r>
              <w:rPr>
                <w:rFonts w:ascii="方正书宋_GBK" w:eastAsia="方正书宋_GBK"/>
              </w:rPr>
              <w:t>550.00</w:t>
            </w:r>
          </w:p>
        </w:tc>
        <w:tc>
          <w:tcPr>
            <w:tcW w:w="97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水利工程施工</w:t>
            </w:r>
          </w:p>
        </w:tc>
        <w:tc>
          <w:tcPr>
            <w:tcW w:w="986" w:type="dxa"/>
            <w:shd w:val="clear" w:color="auto" w:fill="auto"/>
            <w:vAlign w:val="center"/>
          </w:tcPr>
          <w:p>
            <w:pPr>
              <w:spacing w:line="300" w:lineRule="exact"/>
              <w:jc w:val="left"/>
              <w:rPr>
                <w:rFonts w:ascii="方正书宋_GBK" w:eastAsia="方正书宋_GBK"/>
              </w:rPr>
            </w:pPr>
            <w:r>
              <w:rPr>
                <w:rFonts w:ascii="方正书宋_GBK" w:eastAsia="方正书宋_GBK"/>
              </w:rPr>
              <w:t>B0209</w:t>
            </w:r>
          </w:p>
        </w:tc>
        <w:tc>
          <w:tcPr>
            <w:tcW w:w="760" w:type="dxa"/>
            <w:shd w:val="clear" w:color="auto" w:fill="auto"/>
            <w:vAlign w:val="center"/>
          </w:tcPr>
          <w:p>
            <w:pPr>
              <w:spacing w:line="300" w:lineRule="exact"/>
              <w:jc w:val="left"/>
              <w:rPr>
                <w:rFonts w:ascii="方正书宋_GBK" w:eastAsia="方正书宋_GBK"/>
              </w:rPr>
            </w:pPr>
          </w:p>
        </w:tc>
        <w:tc>
          <w:tcPr>
            <w:tcW w:w="760" w:type="dxa"/>
            <w:shd w:val="clear" w:color="auto" w:fill="auto"/>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pPr>
              <w:spacing w:line="300" w:lineRule="exact"/>
              <w:jc w:val="right"/>
              <w:rPr>
                <w:rFonts w:ascii="方正书宋_GBK" w:eastAsia="方正书宋_GBK"/>
              </w:rPr>
            </w:pPr>
            <w:r>
              <w:rPr>
                <w:rFonts w:ascii="方正书宋_GBK" w:eastAsia="方正书宋_GBK"/>
              </w:rPr>
              <w:t>550.00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550.00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550.00</w:t>
            </w:r>
          </w:p>
        </w:tc>
        <w:tc>
          <w:tcPr>
            <w:tcW w:w="961" w:type="dxa"/>
            <w:shd w:val="clear" w:color="auto" w:fill="auto"/>
            <w:vAlign w:val="center"/>
          </w:tcPr>
          <w:p>
            <w:pPr>
              <w:spacing w:line="300" w:lineRule="exact"/>
              <w:jc w:val="right"/>
              <w:rPr>
                <w:rFonts w:ascii="方正书宋_GBK" w:eastAsia="方正书宋_GBK"/>
              </w:rPr>
            </w:pPr>
          </w:p>
        </w:tc>
        <w:tc>
          <w:tcPr>
            <w:tcW w:w="961"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r>
              <w:rPr>
                <w:rFonts w:ascii="方正书宋_GBK" w:eastAsia="方正书宋_GBK"/>
              </w:rPr>
              <w:t>550.00</w:t>
            </w:r>
          </w:p>
        </w:tc>
        <w:tc>
          <w:tcPr>
            <w:tcW w:w="921" w:type="dxa"/>
            <w:shd w:val="clear" w:color="auto" w:fill="auto"/>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提前下达</w:t>
            </w:r>
            <w:r>
              <w:rPr>
                <w:rFonts w:ascii="方正书宋_GBK" w:eastAsia="方正书宋_GBK"/>
              </w:rPr>
              <w:t>2019</w:t>
            </w:r>
            <w:r>
              <w:rPr>
                <w:rFonts w:hint="eastAsia" w:ascii="方正书宋_GBK" w:eastAsia="方正书宋_GBK"/>
              </w:rPr>
              <w:t>年市级专项扶贫资金（贫困革命老区重点村建设）</w:t>
            </w:r>
          </w:p>
        </w:tc>
        <w:tc>
          <w:tcPr>
            <w:tcW w:w="1099" w:type="dxa"/>
            <w:shd w:val="clear" w:color="auto" w:fill="auto"/>
            <w:vAlign w:val="center"/>
          </w:tcPr>
          <w:p>
            <w:pPr>
              <w:spacing w:line="300" w:lineRule="exact"/>
              <w:jc w:val="right"/>
              <w:rPr>
                <w:rFonts w:ascii="方正书宋_GBK" w:eastAsia="方正书宋_GBK"/>
              </w:rPr>
            </w:pPr>
            <w:r>
              <w:rPr>
                <w:rFonts w:ascii="方正书宋_GBK" w:eastAsia="方正书宋_GBK"/>
              </w:rPr>
              <w:t>210.00</w:t>
            </w:r>
          </w:p>
        </w:tc>
        <w:tc>
          <w:tcPr>
            <w:tcW w:w="974"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其他建筑工程</w:t>
            </w:r>
          </w:p>
        </w:tc>
        <w:tc>
          <w:tcPr>
            <w:tcW w:w="986" w:type="dxa"/>
            <w:shd w:val="clear" w:color="auto" w:fill="auto"/>
            <w:vAlign w:val="center"/>
          </w:tcPr>
          <w:p>
            <w:pPr>
              <w:spacing w:line="300" w:lineRule="exact"/>
              <w:jc w:val="left"/>
              <w:rPr>
                <w:rFonts w:ascii="方正书宋_GBK" w:eastAsia="方正书宋_GBK"/>
              </w:rPr>
            </w:pPr>
            <w:r>
              <w:rPr>
                <w:rFonts w:ascii="方正书宋_GBK" w:eastAsia="方正书宋_GBK"/>
              </w:rPr>
              <w:t>B99</w:t>
            </w:r>
          </w:p>
        </w:tc>
        <w:tc>
          <w:tcPr>
            <w:tcW w:w="760" w:type="dxa"/>
            <w:shd w:val="clear" w:color="auto" w:fill="auto"/>
            <w:vAlign w:val="center"/>
          </w:tcPr>
          <w:p>
            <w:pPr>
              <w:spacing w:line="300" w:lineRule="exact"/>
              <w:jc w:val="left"/>
              <w:rPr>
                <w:rFonts w:ascii="方正书宋_GBK" w:eastAsia="方正书宋_GBK"/>
              </w:rPr>
            </w:pPr>
          </w:p>
        </w:tc>
        <w:tc>
          <w:tcPr>
            <w:tcW w:w="760" w:type="dxa"/>
            <w:shd w:val="clear" w:color="auto" w:fill="auto"/>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pPr>
              <w:spacing w:line="300" w:lineRule="exact"/>
              <w:jc w:val="right"/>
              <w:rPr>
                <w:rFonts w:ascii="方正书宋_GBK" w:eastAsia="方正书宋_GBK"/>
              </w:rPr>
            </w:pPr>
            <w:r>
              <w:rPr>
                <w:rFonts w:ascii="方正书宋_GBK" w:eastAsia="方正书宋_GBK"/>
              </w:rPr>
              <w:t>110.00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110.00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110.00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110.00</w:t>
            </w:r>
          </w:p>
        </w:tc>
        <w:tc>
          <w:tcPr>
            <w:tcW w:w="961"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21" w:type="dxa"/>
            <w:shd w:val="clear" w:color="auto" w:fill="auto"/>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center"/>
              <w:rPr>
                <w:rFonts w:hint="eastAsia" w:ascii="方正书宋_GBK" w:eastAsia="方正书宋_GBK"/>
                <w:b/>
              </w:rPr>
            </w:pPr>
            <w:r>
              <w:rPr>
                <w:rFonts w:hint="eastAsia" w:ascii="方正书宋_GBK" w:eastAsia="方正书宋_GBK"/>
                <w:b/>
              </w:rPr>
              <w:t>石家庄市鹿泉区农产品综合质检站小计</w:t>
            </w:r>
          </w:p>
        </w:tc>
        <w:tc>
          <w:tcPr>
            <w:tcW w:w="1099" w:type="dxa"/>
            <w:shd w:val="clear" w:color="auto" w:fill="auto"/>
            <w:vAlign w:val="center"/>
          </w:tcPr>
          <w:p>
            <w:pPr>
              <w:spacing w:line="300" w:lineRule="exact"/>
              <w:jc w:val="right"/>
              <w:rPr>
                <w:rFonts w:ascii="方正书宋_GBK" w:eastAsia="方正书宋_GBK"/>
                <w:b/>
              </w:rPr>
            </w:pPr>
          </w:p>
        </w:tc>
        <w:tc>
          <w:tcPr>
            <w:tcW w:w="974" w:type="dxa"/>
            <w:shd w:val="clear" w:color="auto" w:fill="auto"/>
            <w:vAlign w:val="center"/>
          </w:tcPr>
          <w:p>
            <w:pPr>
              <w:spacing w:line="300" w:lineRule="exact"/>
              <w:jc w:val="left"/>
              <w:rPr>
                <w:rFonts w:hint="eastAsia" w:ascii="方正书宋_GBK" w:eastAsia="方正书宋_GBK"/>
                <w:b/>
              </w:rPr>
            </w:pPr>
          </w:p>
        </w:tc>
        <w:tc>
          <w:tcPr>
            <w:tcW w:w="986"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right"/>
              <w:rPr>
                <w:rFonts w:ascii="方正书宋_GBK" w:eastAsia="方正书宋_GBK"/>
                <w:b/>
              </w:rPr>
            </w:pPr>
          </w:p>
        </w:tc>
        <w:tc>
          <w:tcPr>
            <w:tcW w:w="848" w:type="dxa"/>
            <w:shd w:val="clear" w:color="auto" w:fill="auto"/>
            <w:vAlign w:val="center"/>
          </w:tcPr>
          <w:p>
            <w:pPr>
              <w:spacing w:line="300" w:lineRule="exact"/>
              <w:jc w:val="right"/>
              <w:rPr>
                <w:rFonts w:ascii="方正书宋_GBK" w:eastAsia="方正书宋_GBK"/>
                <w:b/>
              </w:rPr>
            </w:pP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25.00</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25.00</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25.00</w:t>
            </w:r>
          </w:p>
        </w:tc>
        <w:tc>
          <w:tcPr>
            <w:tcW w:w="961"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p>
        </w:tc>
        <w:tc>
          <w:tcPr>
            <w:tcW w:w="921"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农畜品及投入品检测专项经费</w:t>
            </w:r>
          </w:p>
        </w:tc>
        <w:tc>
          <w:tcPr>
            <w:tcW w:w="1099" w:type="dxa"/>
            <w:shd w:val="clear" w:color="auto" w:fill="auto"/>
            <w:vAlign w:val="center"/>
          </w:tcPr>
          <w:p>
            <w:pPr>
              <w:spacing w:line="300" w:lineRule="exact"/>
              <w:jc w:val="right"/>
              <w:rPr>
                <w:rFonts w:ascii="方正书宋_GBK" w:eastAsia="方正书宋_GBK"/>
              </w:rPr>
            </w:pPr>
            <w:r>
              <w:rPr>
                <w:rFonts w:ascii="方正书宋_GBK" w:eastAsia="方正书宋_GBK"/>
              </w:rPr>
              <w:t>70.00</w:t>
            </w:r>
          </w:p>
        </w:tc>
        <w:tc>
          <w:tcPr>
            <w:tcW w:w="974"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其他货物</w:t>
            </w:r>
          </w:p>
        </w:tc>
        <w:tc>
          <w:tcPr>
            <w:tcW w:w="986" w:type="dxa"/>
            <w:shd w:val="clear" w:color="auto" w:fill="auto"/>
            <w:vAlign w:val="center"/>
          </w:tcPr>
          <w:p>
            <w:pPr>
              <w:spacing w:line="300" w:lineRule="exact"/>
              <w:jc w:val="left"/>
              <w:rPr>
                <w:rFonts w:ascii="方正书宋_GBK" w:eastAsia="方正书宋_GBK"/>
              </w:rPr>
            </w:pPr>
            <w:r>
              <w:rPr>
                <w:rFonts w:ascii="方正书宋_GBK" w:eastAsia="方正书宋_GBK"/>
              </w:rPr>
              <w:t>A99</w:t>
            </w:r>
          </w:p>
        </w:tc>
        <w:tc>
          <w:tcPr>
            <w:tcW w:w="760" w:type="dxa"/>
            <w:shd w:val="clear" w:color="auto" w:fill="auto"/>
            <w:vAlign w:val="center"/>
          </w:tcPr>
          <w:p>
            <w:pPr>
              <w:spacing w:line="300" w:lineRule="exact"/>
              <w:jc w:val="left"/>
              <w:rPr>
                <w:rFonts w:ascii="方正书宋_GBK" w:eastAsia="方正书宋_GBK"/>
              </w:rPr>
            </w:pPr>
          </w:p>
        </w:tc>
        <w:tc>
          <w:tcPr>
            <w:tcW w:w="760" w:type="dxa"/>
            <w:shd w:val="clear" w:color="auto" w:fill="auto"/>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pPr>
              <w:spacing w:line="300" w:lineRule="exact"/>
              <w:jc w:val="right"/>
              <w:rPr>
                <w:rFonts w:ascii="方正书宋_GBK" w:eastAsia="方正书宋_GBK"/>
              </w:rPr>
            </w:pPr>
            <w:r>
              <w:rPr>
                <w:rFonts w:ascii="方正书宋_GBK" w:eastAsia="方正书宋_GBK"/>
              </w:rPr>
              <w:t>25.00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25.00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25.00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25.00</w:t>
            </w:r>
          </w:p>
        </w:tc>
        <w:tc>
          <w:tcPr>
            <w:tcW w:w="961"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21" w:type="dxa"/>
            <w:shd w:val="clear" w:color="auto" w:fill="auto"/>
            <w:vAlign w:val="center"/>
          </w:tcPr>
          <w:p>
            <w:pPr>
              <w:spacing w:line="300" w:lineRule="exact"/>
              <w:jc w:val="right"/>
              <w:rPr>
                <w:rFonts w:ascii="方正书宋_GBK" w:eastAsia="方正书宋_GBK"/>
              </w:rPr>
            </w:pPr>
          </w:p>
        </w:tc>
      </w:tr>
    </w:tbl>
    <w:p>
      <w:pPr>
        <w:autoSpaceDE w:val="0"/>
        <w:autoSpaceDN w:val="0"/>
        <w:adjustRightInd w:val="0"/>
        <w:ind w:left="198"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石家庄市鹿泉区农业农村局</w:t>
      </w:r>
      <w:r>
        <w:rPr>
          <w:rFonts w:hint="eastAsia" w:ascii="仿宋" w:hAnsi="仿宋" w:eastAsia="仿宋" w:cs="仿宋"/>
          <w:sz w:val="32"/>
          <w:szCs w:val="32"/>
        </w:rPr>
        <w:t>（含所属单位）上年末固定资产金额为</w:t>
      </w:r>
      <w:r>
        <w:rPr>
          <w:rFonts w:hint="eastAsia" w:ascii="仿宋" w:hAnsi="仿宋" w:eastAsia="仿宋" w:cs="仿宋"/>
          <w:sz w:val="32"/>
          <w:szCs w:val="32"/>
          <w:lang w:val="en-US" w:eastAsia="zh-CN"/>
        </w:rPr>
        <w:t>1408.26</w:t>
      </w:r>
      <w:r>
        <w:rPr>
          <w:rFonts w:hint="eastAsia" w:ascii="仿宋" w:hAnsi="仿宋" w:eastAsia="仿宋" w:cs="仿宋"/>
          <w:sz w:val="32"/>
          <w:szCs w:val="32"/>
        </w:rPr>
        <w:t>万元（详见下表），本年度各单位（</w:t>
      </w:r>
      <w:r>
        <w:rPr>
          <w:rFonts w:hint="eastAsia" w:ascii="仿宋" w:hAnsi="仿宋" w:eastAsia="仿宋" w:cs="仿宋"/>
          <w:sz w:val="32"/>
          <w:szCs w:val="32"/>
          <w:lang w:eastAsia="zh-CN"/>
        </w:rPr>
        <w:t>科室</w:t>
      </w:r>
      <w:r>
        <w:rPr>
          <w:rFonts w:hint="eastAsia" w:ascii="仿宋" w:hAnsi="仿宋" w:eastAsia="仿宋" w:cs="仿宋"/>
          <w:sz w:val="32"/>
          <w:szCs w:val="32"/>
        </w:rPr>
        <w:t>）拟购置固定资产总额为</w:t>
      </w:r>
      <w:r>
        <w:rPr>
          <w:rFonts w:hint="eastAsia" w:ascii="仿宋" w:hAnsi="仿宋" w:eastAsia="仿宋" w:cs="仿宋"/>
          <w:sz w:val="32"/>
          <w:szCs w:val="32"/>
          <w:lang w:val="en-US" w:eastAsia="zh-CN"/>
        </w:rPr>
        <w:t>50</w:t>
      </w:r>
      <w:r>
        <w:rPr>
          <w:rFonts w:hint="eastAsia" w:ascii="仿宋" w:hAnsi="仿宋" w:eastAsia="仿宋" w:cs="仿宋"/>
          <w:sz w:val="32"/>
          <w:szCs w:val="32"/>
        </w:rPr>
        <w:t>万元，主要为计算机设备、打印设备、空调、办公家具等。</w:t>
      </w:r>
    </w:p>
    <w:tbl>
      <w:tblPr>
        <w:tblStyle w:val="12"/>
        <w:tblW w:w="134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24"/>
        <w:gridCol w:w="3155"/>
        <w:gridCol w:w="5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rPr>
              <w:t>部门固定资产占用情况表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编制部门：</w:t>
            </w:r>
            <w:r>
              <w:rPr>
                <w:rFonts w:hint="eastAsia" w:ascii="宋体" w:hAnsi="宋体" w:cs="宋体"/>
                <w:kern w:val="0"/>
                <w:sz w:val="22"/>
                <w:lang w:eastAsia="zh-CN"/>
              </w:rPr>
              <w:t>石家庄市鹿泉区农业农村局</w:t>
            </w:r>
          </w:p>
        </w:tc>
        <w:tc>
          <w:tcPr>
            <w:tcW w:w="5103" w:type="dxa"/>
            <w:tcBorders>
              <w:top w:val="nil"/>
              <w:left w:val="nil"/>
              <w:bottom w:val="nil"/>
              <w:right w:val="nil"/>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5"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103"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5"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5103"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kern w:val="0"/>
                <w:sz w:val="22"/>
                <w:lang w:eastAsia="zh-CN"/>
              </w:rPr>
            </w:pPr>
            <w:r>
              <w:rPr>
                <w:rFonts w:hint="eastAsia" w:ascii="Times New Roman" w:hAnsi="Times New Roman" w:cs="Times New Roman"/>
                <w:kern w:val="0"/>
                <w:sz w:val="22"/>
                <w:lang w:val="en-US" w:eastAsia="zh-CN"/>
              </w:rPr>
              <w:t>1408.26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3365</w:t>
            </w: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135.48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3365</w:t>
            </w: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135.48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24</w:t>
            </w: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195.87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val="en-US" w:eastAsia="zh-CN"/>
              </w:rPr>
            </w:pPr>
            <w:r>
              <w:rPr>
                <w:rFonts w:hint="eastAsia" w:ascii="Times New Roman" w:hAnsi="Times New Roman" w:cs="Times New Roman"/>
                <w:sz w:val="22"/>
                <w:lang w:val="en-US" w:eastAsia="zh-CN"/>
              </w:rPr>
              <w:t>0</w:t>
            </w: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val="en-US" w:eastAsia="zh-CN"/>
              </w:rPr>
            </w:pPr>
            <w:r>
              <w:rPr>
                <w:rFonts w:hint="eastAsia" w:ascii="Times New Roman" w:hAnsi="Times New Roman" w:cs="Times New Roman"/>
                <w:sz w:val="2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5"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1076.91</w:t>
            </w:r>
          </w:p>
        </w:tc>
      </w:tr>
    </w:tbl>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1、一般公共预算拨款收入：指财政当年拨付的资金。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财政预算管理的“三公”经费，是指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_GBK">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楷体_GB2312">
    <w:altName w:val="楷体"/>
    <w:panose1 w:val="00000000000000000000"/>
    <w:charset w:val="86"/>
    <w:family w:val="auto"/>
    <w:pitch w:val="default"/>
    <w:sig w:usb0="00000000" w:usb1="00000000" w:usb2="00000010" w:usb3="00000000" w:csb0="00040000" w:csb1="00000000"/>
  </w:font>
  <w:font w:name="方正书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26D4C89"/>
    <w:rsid w:val="06894AC9"/>
    <w:rsid w:val="09DE12BD"/>
    <w:rsid w:val="09EA50CF"/>
    <w:rsid w:val="0B4A7615"/>
    <w:rsid w:val="0DD71E42"/>
    <w:rsid w:val="0F541307"/>
    <w:rsid w:val="113066C1"/>
    <w:rsid w:val="1380270E"/>
    <w:rsid w:val="148B0641"/>
    <w:rsid w:val="14A4376A"/>
    <w:rsid w:val="14AD65F8"/>
    <w:rsid w:val="152704C0"/>
    <w:rsid w:val="164D3B25"/>
    <w:rsid w:val="182D2D36"/>
    <w:rsid w:val="18BC1320"/>
    <w:rsid w:val="1C2A22C1"/>
    <w:rsid w:val="1CB57CA7"/>
    <w:rsid w:val="237D7345"/>
    <w:rsid w:val="2ADB3DDF"/>
    <w:rsid w:val="2B0F1CB0"/>
    <w:rsid w:val="2E7E6154"/>
    <w:rsid w:val="2ED90DEC"/>
    <w:rsid w:val="307F4383"/>
    <w:rsid w:val="36801CC7"/>
    <w:rsid w:val="372F0F16"/>
    <w:rsid w:val="375223CF"/>
    <w:rsid w:val="375B525D"/>
    <w:rsid w:val="380C5081"/>
    <w:rsid w:val="394D348F"/>
    <w:rsid w:val="3A4614A9"/>
    <w:rsid w:val="3B632B7A"/>
    <w:rsid w:val="3C810DD3"/>
    <w:rsid w:val="40667434"/>
    <w:rsid w:val="4199432E"/>
    <w:rsid w:val="44667944"/>
    <w:rsid w:val="48F71942"/>
    <w:rsid w:val="49AA71E7"/>
    <w:rsid w:val="4F9F432E"/>
    <w:rsid w:val="58F16C7A"/>
    <w:rsid w:val="5A0E3BCE"/>
    <w:rsid w:val="5B2E6224"/>
    <w:rsid w:val="5F076875"/>
    <w:rsid w:val="6D717C1E"/>
    <w:rsid w:val="716A2D22"/>
    <w:rsid w:val="75845FDA"/>
    <w:rsid w:val="7605782D"/>
    <w:rsid w:val="779F1B4C"/>
    <w:rsid w:val="78070277"/>
    <w:rsid w:val="78943E42"/>
    <w:rsid w:val="797265CF"/>
    <w:rsid w:val="79DA4CFA"/>
    <w:rsid w:val="7DFE2E40"/>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unhideWhenUsed/>
    <w:uiPriority w:val="1"/>
  </w:style>
  <w:style w:type="table" w:default="1" w:styleId="12">
    <w:name w:val="Normal Table"/>
    <w:unhideWhenUsed/>
    <w:qFormat/>
    <w:uiPriority w:val="99"/>
    <w:tblPr>
      <w:tblStyle w:val="12"/>
      <w:tblLayout w:type="fixed"/>
      <w:tblCellMar>
        <w:top w:w="0" w:type="dxa"/>
        <w:left w:w="108" w:type="dxa"/>
        <w:bottom w:w="0" w:type="dxa"/>
        <w:right w:w="108" w:type="dxa"/>
      </w:tblCellMar>
    </w:tblPr>
    <w:tcPr>
      <w:textDirection w:val="lrTb"/>
    </w:tcPr>
  </w:style>
  <w:style w:type="paragraph" w:styleId="2">
    <w:name w:val="Balloon Text"/>
    <w:basedOn w:val="1"/>
    <w:link w:val="16"/>
    <w:unhideWhenUsed/>
    <w:uiPriority w:val="99"/>
    <w:rPr>
      <w:sz w:val="18"/>
      <w:szCs w:val="18"/>
    </w:rPr>
  </w:style>
  <w:style w:type="paragraph" w:styleId="3">
    <w:name w:val="footer"/>
    <w:basedOn w:val="1"/>
    <w:link w:val="15"/>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4"/>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uiPriority w:val="39"/>
    <w:pPr>
      <w:ind w:left="420" w:leftChars="200"/>
    </w:pPr>
    <w:rPr>
      <w:rFonts w:ascii="Times New Roman" w:hAnsi="Times New Roman" w:eastAsia="宋体" w:cs="Times New Roman"/>
      <w:szCs w:val="24"/>
    </w:rPr>
  </w:style>
  <w:style w:type="character" w:styleId="9">
    <w:name w:val="page number"/>
    <w:unhideWhenUsed/>
    <w:uiPriority w:val="99"/>
  </w:style>
  <w:style w:type="character" w:styleId="10">
    <w:name w:val="Hyperlink"/>
    <w:unhideWhenUsed/>
    <w:qFormat/>
    <w:uiPriority w:val="99"/>
    <w:rPr>
      <w:color w:val="0000FF"/>
      <w:u w:val="single"/>
    </w:rPr>
  </w:style>
  <w:style w:type="character" w:styleId="11">
    <w:name w:val="footnote reference"/>
    <w:unhideWhenUsed/>
    <w:uiPriority w:val="99"/>
    <w:rPr>
      <w:vertAlign w:val="superscript"/>
    </w:rPr>
  </w:style>
  <w:style w:type="paragraph" w:customStyle="1" w:styleId="13">
    <w:name w:val="Defaul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character" w:customStyle="1" w:styleId="14">
    <w:name w:val="页眉 Char"/>
    <w:basedOn w:val="8"/>
    <w:link w:val="4"/>
    <w:uiPriority w:val="99"/>
    <w:rPr>
      <w:rFonts w:ascii="Times New Roman" w:hAnsi="Times New Roman" w:eastAsia="宋体" w:cs="Times New Roman"/>
      <w:sz w:val="18"/>
      <w:szCs w:val="18"/>
    </w:rPr>
  </w:style>
  <w:style w:type="character" w:customStyle="1" w:styleId="15">
    <w:name w:val="页脚 Char"/>
    <w:basedOn w:val="8"/>
    <w:link w:val="3"/>
    <w:uiPriority w:val="99"/>
    <w:rPr>
      <w:rFonts w:ascii="Times New Roman" w:hAnsi="Times New Roman" w:eastAsia="宋体" w:cs="Times New Roman"/>
      <w:sz w:val="18"/>
      <w:szCs w:val="18"/>
    </w:rPr>
  </w:style>
  <w:style w:type="character" w:customStyle="1" w:styleId="16">
    <w:name w:val="批注框文本 Char"/>
    <w:basedOn w:val="8"/>
    <w:link w:val="2"/>
    <w:semiHidden/>
    <w:uiPriority w:val="99"/>
    <w:rPr>
      <w:sz w:val="18"/>
      <w:szCs w:val="18"/>
    </w:rPr>
  </w:style>
  <w:style w:type="character" w:customStyle="1" w:styleId="17">
    <w:name w:val="脚注文本 Char"/>
    <w:basedOn w:val="8"/>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2019-03-04T03:36:14Z</dcterms:modified>
  <dc:title>河北省财政厅2019年部门预算信息公开情况说明</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