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鹿泉区政法委</w:t>
      </w:r>
      <w:r>
        <w:rPr>
          <w:rFonts w:hint="eastAsia" w:ascii="Times New Roman" w:hAnsi="Times New Roman" w:eastAsia="方正小标宋_GBK" w:cs="Times New Roman"/>
          <w:sz w:val="44"/>
          <w:szCs w:val="44"/>
          <w:lang w:val="en-US" w:eastAsia="zh-CN"/>
        </w:rPr>
        <w:t>2019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按照《预算法》、《地方预决算公开操作规程》和《河北省省级预算公开办法》规定，现将</w:t>
      </w:r>
      <w:r>
        <w:rPr>
          <w:rFonts w:hint="eastAsia" w:asciiTheme="majorEastAsia" w:hAnsiTheme="majorEastAsia" w:eastAsiaTheme="majorEastAsia" w:cstheme="majorEastAsia"/>
          <w:sz w:val="32"/>
          <w:szCs w:val="32"/>
          <w:lang w:eastAsia="zh-CN"/>
        </w:rPr>
        <w:t>鹿泉区政法委</w:t>
      </w:r>
      <w:r>
        <w:rPr>
          <w:rFonts w:hint="eastAsia" w:asciiTheme="majorEastAsia" w:hAnsiTheme="majorEastAsia" w:eastAsiaTheme="majorEastAsia" w:cstheme="majorEastAsia"/>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pStyle w:val="19"/>
        <w:keepNext w:val="0"/>
        <w:keepLines w:val="0"/>
        <w:pageBreakBefore w:val="0"/>
        <w:widowControl/>
        <w:numPr>
          <w:ilvl w:val="0"/>
          <w:numId w:val="0"/>
        </w:numPr>
        <w:kinsoku/>
        <w:wordWrap/>
        <w:overflowPunct/>
        <w:topLinePunct w:val="0"/>
        <w:autoSpaceDE w:val="0"/>
        <w:autoSpaceDN w:val="0"/>
        <w:bidi w:val="0"/>
        <w:adjustRightInd w:val="0"/>
        <w:snapToGrid/>
        <w:spacing w:beforeLines="0" w:afterLines="0" w:line="240" w:lineRule="auto"/>
        <w:ind w:left="0" w:leftChars="0" w:right="0" w:rightChars="0" w:firstLine="640" w:firstLineChars="200"/>
        <w:jc w:val="left"/>
        <w:textAlignment w:val="auto"/>
        <w:outlineLvl w:val="9"/>
        <w:rPr>
          <w:rFonts w:hint="eastAsia" w:asciiTheme="minorEastAsia" w:hAnsiTheme="minorEastAsia" w:eastAsiaTheme="minorEastAsia" w:cstheme="minorEastAsia"/>
          <w:sz w:val="32"/>
          <w:lang w:val="en-US" w:eastAsia="zh-CN"/>
        </w:rPr>
      </w:pPr>
      <w:r>
        <w:rPr>
          <w:rFonts w:hint="eastAsia" w:asciiTheme="minorEastAsia" w:hAnsiTheme="minorEastAsia" w:eastAsiaTheme="minorEastAsia" w:cstheme="minorEastAsia"/>
          <w:sz w:val="32"/>
          <w:lang w:val="en-US" w:eastAsia="zh-CN"/>
        </w:rPr>
        <w:t>1、对全区政法工作研究提出全局性部署，推进平安建设、法制建设、加强过硬队伍建设，深化智能化建设，坚决维护国家政治安全、确保社会大局稳定、促进社会公平正义、保障人民安居乐业。</w:t>
      </w:r>
    </w:p>
    <w:p>
      <w:pPr>
        <w:pStyle w:val="19"/>
        <w:keepNext w:val="0"/>
        <w:keepLines w:val="0"/>
        <w:pageBreakBefore w:val="0"/>
        <w:widowControl/>
        <w:numPr>
          <w:ilvl w:val="0"/>
          <w:numId w:val="0"/>
        </w:numPr>
        <w:kinsoku/>
        <w:wordWrap/>
        <w:overflowPunct/>
        <w:topLinePunct w:val="0"/>
        <w:autoSpaceDE w:val="0"/>
        <w:autoSpaceDN w:val="0"/>
        <w:bidi w:val="0"/>
        <w:adjustRightInd w:val="0"/>
        <w:snapToGrid/>
        <w:spacing w:beforeLines="0" w:afterLines="0" w:line="240" w:lineRule="auto"/>
        <w:ind w:left="0" w:leftChars="0" w:right="0" w:rightChars="0" w:firstLine="640" w:firstLineChars="200"/>
        <w:jc w:val="left"/>
        <w:textAlignment w:val="auto"/>
        <w:outlineLvl w:val="9"/>
        <w:rPr>
          <w:rFonts w:hint="eastAsia" w:asciiTheme="minorEastAsia" w:hAnsiTheme="minorEastAsia" w:eastAsiaTheme="minorEastAsia" w:cstheme="minorEastAsia"/>
          <w:sz w:val="32"/>
          <w:lang w:val="en-US" w:eastAsia="zh-CN"/>
        </w:rPr>
      </w:pPr>
      <w:r>
        <w:rPr>
          <w:rFonts w:hint="eastAsia" w:asciiTheme="minorEastAsia" w:hAnsiTheme="minorEastAsia" w:eastAsiaTheme="minorEastAsia" w:cstheme="minorEastAsia"/>
          <w:sz w:val="32"/>
          <w:lang w:val="en-US" w:eastAsia="zh-CN"/>
        </w:rPr>
        <w:t>2、了解掌握和分析研判政法工作情况动态，分析社会稳定形势，创新完善多部门参与的平安建设工作协调机制，协调推动预防、化解影响稳定的社会矛盾和风险，协调应对和处置重大突发事件。</w:t>
      </w:r>
    </w:p>
    <w:p>
      <w:pPr>
        <w:pStyle w:val="19"/>
        <w:keepNext w:val="0"/>
        <w:keepLines w:val="0"/>
        <w:pageBreakBefore w:val="0"/>
        <w:widowControl/>
        <w:numPr>
          <w:ilvl w:val="0"/>
          <w:numId w:val="0"/>
        </w:numPr>
        <w:kinsoku/>
        <w:wordWrap/>
        <w:overflowPunct/>
        <w:topLinePunct w:val="0"/>
        <w:autoSpaceDE w:val="0"/>
        <w:autoSpaceDN w:val="0"/>
        <w:bidi w:val="0"/>
        <w:adjustRightInd w:val="0"/>
        <w:snapToGrid/>
        <w:spacing w:beforeLines="0" w:afterLines="0" w:line="240" w:lineRule="auto"/>
        <w:ind w:left="0" w:leftChars="0" w:right="0" w:rightChars="0" w:firstLine="640" w:firstLineChars="200"/>
        <w:jc w:val="left"/>
        <w:textAlignment w:val="auto"/>
        <w:outlineLvl w:val="9"/>
        <w:rPr>
          <w:rFonts w:hint="eastAsia" w:asciiTheme="minorEastAsia" w:hAnsiTheme="minorEastAsia" w:eastAsiaTheme="minorEastAsia" w:cstheme="minorEastAsia"/>
          <w:sz w:val="32"/>
          <w:lang w:val="en-US" w:eastAsia="zh-CN"/>
        </w:rPr>
      </w:pPr>
      <w:r>
        <w:rPr>
          <w:rFonts w:hint="eastAsia" w:asciiTheme="minorEastAsia" w:hAnsiTheme="minorEastAsia" w:eastAsiaTheme="minorEastAsia" w:cstheme="minorEastAsia"/>
          <w:sz w:val="32"/>
          <w:lang w:val="en-US" w:eastAsia="zh-CN"/>
        </w:rPr>
        <w:t>3、加强对政法工作的督查，统筹协调社会治安综合治理、维护社会稳定、反邪教、反暴恐等有关法律法规政策的实施工作。</w:t>
      </w:r>
    </w:p>
    <w:p>
      <w:pPr>
        <w:pStyle w:val="19"/>
        <w:keepNext w:val="0"/>
        <w:keepLines w:val="0"/>
        <w:pageBreakBefore w:val="0"/>
        <w:widowControl/>
        <w:numPr>
          <w:ilvl w:val="0"/>
          <w:numId w:val="0"/>
        </w:numPr>
        <w:kinsoku/>
        <w:wordWrap/>
        <w:overflowPunct/>
        <w:topLinePunct w:val="0"/>
        <w:autoSpaceDE w:val="0"/>
        <w:autoSpaceDN w:val="0"/>
        <w:bidi w:val="0"/>
        <w:adjustRightInd w:val="0"/>
        <w:snapToGrid/>
        <w:spacing w:beforeLines="0" w:afterLines="0" w:line="240" w:lineRule="auto"/>
        <w:ind w:left="0" w:leftChars="0" w:right="0" w:rightChars="0" w:firstLine="640" w:firstLineChars="200"/>
        <w:jc w:val="left"/>
        <w:textAlignment w:val="auto"/>
        <w:outlineLvl w:val="9"/>
        <w:rPr>
          <w:rFonts w:hint="eastAsia" w:asciiTheme="minorEastAsia" w:hAnsiTheme="minorEastAsia" w:eastAsiaTheme="minorEastAsia" w:cstheme="minorEastAsia"/>
          <w:sz w:val="32"/>
          <w:lang w:val="en-US" w:eastAsia="zh-CN"/>
        </w:rPr>
      </w:pPr>
      <w:r>
        <w:rPr>
          <w:rFonts w:hint="eastAsia" w:asciiTheme="minorEastAsia" w:hAnsiTheme="minorEastAsia" w:eastAsiaTheme="minorEastAsia" w:cstheme="minorEastAsia"/>
          <w:sz w:val="32"/>
          <w:lang w:val="en-US" w:eastAsia="zh-CN"/>
        </w:rPr>
        <w:t>4、组织开展政法领域的调查研究，研究拟订政法工作的重大措施，及时向区委提出建议。</w:t>
      </w:r>
    </w:p>
    <w:p>
      <w:pPr>
        <w:pStyle w:val="19"/>
        <w:keepNext w:val="0"/>
        <w:keepLines w:val="0"/>
        <w:pageBreakBefore w:val="0"/>
        <w:widowControl/>
        <w:numPr>
          <w:ilvl w:val="0"/>
          <w:numId w:val="0"/>
        </w:numPr>
        <w:kinsoku/>
        <w:wordWrap/>
        <w:overflowPunct/>
        <w:topLinePunct w:val="0"/>
        <w:autoSpaceDE w:val="0"/>
        <w:autoSpaceDN w:val="0"/>
        <w:bidi w:val="0"/>
        <w:adjustRightInd w:val="0"/>
        <w:snapToGrid/>
        <w:spacing w:beforeLines="0" w:afterLines="0" w:line="240" w:lineRule="auto"/>
        <w:ind w:left="0" w:leftChars="0" w:right="0" w:rightChars="0" w:firstLine="640" w:firstLineChars="200"/>
        <w:jc w:val="left"/>
        <w:textAlignment w:val="auto"/>
        <w:outlineLvl w:val="9"/>
        <w:rPr>
          <w:rFonts w:hint="eastAsia" w:asciiTheme="minorEastAsia" w:hAnsiTheme="minorEastAsia" w:eastAsiaTheme="minorEastAsia" w:cstheme="minorEastAsia"/>
          <w:sz w:val="32"/>
          <w:lang w:val="en-US" w:eastAsia="zh-CN"/>
        </w:rPr>
      </w:pPr>
      <w:r>
        <w:rPr>
          <w:rFonts w:hint="eastAsia" w:asciiTheme="minorEastAsia" w:hAnsiTheme="minorEastAsia" w:eastAsiaTheme="minorEastAsia" w:cstheme="minorEastAsia"/>
          <w:sz w:val="32"/>
          <w:lang w:val="en-US" w:eastAsia="zh-CN"/>
        </w:rPr>
        <w:t>5、掌握分析政法舆情动态，指导协调政法单位媒体网络宣传工作，指导政法单位做好涉及政法工作的重大宣传工作。</w:t>
      </w:r>
    </w:p>
    <w:p>
      <w:pPr>
        <w:keepNext w:val="0"/>
        <w:keepLines w:val="0"/>
        <w:pageBreakBefore w:val="0"/>
        <w:kinsoku/>
        <w:wordWrap/>
        <w:overflowPunct/>
        <w:topLinePunct w:val="0"/>
        <w:autoSpaceDE w:val="0"/>
        <w:autoSpaceDN w:val="0"/>
        <w:bidi w:val="0"/>
        <w:adjustRightInd w:val="0"/>
        <w:snapToGrid/>
        <w:spacing w:line="240" w:lineRule="auto"/>
        <w:ind w:left="198" w:right="0" w:rightChars="0" w:firstLine="640" w:firstLineChars="200"/>
        <w:jc w:val="left"/>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鹿泉区政法委</w:t>
      </w:r>
      <w:r>
        <w:rPr>
          <w:rFonts w:hint="eastAsia" w:asciiTheme="minorEastAsia" w:hAnsiTheme="minorEastAsia" w:eastAsiaTheme="minorEastAsia" w:cstheme="minorEastAsia"/>
          <w:sz w:val="32"/>
          <w:szCs w:val="32"/>
        </w:rPr>
        <w:t>根据工作需要，设有</w:t>
      </w:r>
      <w:r>
        <w:rPr>
          <w:rFonts w:hint="eastAsia" w:asciiTheme="minorEastAsia" w:hAnsiTheme="minorEastAsia" w:eastAsiaTheme="minorEastAsia" w:cstheme="minorEastAsia"/>
          <w:sz w:val="32"/>
          <w:szCs w:val="32"/>
          <w:lang w:eastAsia="zh-CN"/>
        </w:rPr>
        <w:t>办公室、维稳指导科、综治指导科、基层社会治理科、执法监督科、政治处。</w:t>
      </w:r>
    </w:p>
    <w:p>
      <w:pPr>
        <w:autoSpaceDE w:val="0"/>
        <w:autoSpaceDN w:val="0"/>
        <w:adjustRightInd w:val="0"/>
        <w:ind w:left="198" w:firstLine="640" w:firstLineChars="20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p>
      <w:pPr>
        <w:jc w:val="center"/>
        <w:outlineLvl w:val="0"/>
        <w:rPr>
          <w:rFonts w:ascii="Times New Roman" w:hAnsi="Times New Roman" w:eastAsia="方正小标宋_GBK" w:cs="Times New Roman"/>
          <w:sz w:val="32"/>
          <w:szCs w:val="24"/>
        </w:rPr>
      </w:pPr>
      <w:r>
        <w:rPr>
          <w:rFonts w:ascii="Times New Roman" w:hAnsi="Times New Roman" w:eastAsia="方正小标宋_GBK" w:cs="Times New Roman"/>
          <w:sz w:val="32"/>
          <w:szCs w:val="24"/>
        </w:rPr>
        <w:t>部门</w:t>
      </w:r>
      <w:r>
        <w:rPr>
          <w:rFonts w:hint="eastAsia" w:ascii="Times New Roman" w:hAnsi="Times New Roman" w:eastAsia="方正小标宋_GBK" w:cs="Times New Roman"/>
          <w:sz w:val="32"/>
          <w:szCs w:val="24"/>
        </w:rPr>
        <w:t>机构设置情况</w:t>
      </w:r>
    </w:p>
    <w:tbl>
      <w:tblPr>
        <w:tblStyle w:val="12"/>
        <w:tblW w:w="9782" w:type="dxa"/>
        <w:jc w:val="center"/>
        <w:tblInd w:w="-5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359"/>
        <w:gridCol w:w="1134"/>
        <w:gridCol w:w="1276"/>
        <w:gridCol w:w="30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35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3013"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359" w:type="dxa"/>
            <w:vMerge w:val="continue"/>
            <w:shd w:val="clear" w:color="auto" w:fill="auto"/>
            <w:vAlign w:val="center"/>
          </w:tcPr>
          <w:p>
            <w:pPr>
              <w:spacing w:line="300" w:lineRule="exact"/>
              <w:jc w:val="left"/>
              <w:outlineLvl w:val="0"/>
            </w:pPr>
          </w:p>
        </w:tc>
        <w:tc>
          <w:tcPr>
            <w:tcW w:w="1134"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3013" w:type="dxa"/>
            <w:vMerge w:val="continue"/>
            <w:shd w:val="clear" w:color="auto" w:fill="auto"/>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134" w:type="dxa"/>
            <w:shd w:val="clear" w:color="auto" w:fill="auto"/>
            <w:vAlign w:val="center"/>
          </w:tcPr>
          <w:p>
            <w:pPr>
              <w:spacing w:line="300" w:lineRule="exact"/>
              <w:jc w:val="center"/>
              <w:rPr>
                <w:rFonts w:ascii="方正书宋_GBK" w:eastAsia="方正书宋_GBK"/>
                <w:b/>
              </w:rPr>
            </w:pPr>
          </w:p>
        </w:tc>
        <w:tc>
          <w:tcPr>
            <w:tcW w:w="1276" w:type="dxa"/>
            <w:shd w:val="clear" w:color="auto" w:fill="auto"/>
            <w:vAlign w:val="center"/>
          </w:tcPr>
          <w:p>
            <w:pPr>
              <w:spacing w:line="300" w:lineRule="exact"/>
              <w:jc w:val="center"/>
              <w:rPr>
                <w:rFonts w:ascii="方正书宋_GBK" w:eastAsia="方正书宋_GBK"/>
                <w:b/>
              </w:rPr>
            </w:pPr>
          </w:p>
        </w:tc>
        <w:tc>
          <w:tcPr>
            <w:tcW w:w="3013" w:type="dxa"/>
            <w:shd w:val="clear" w:color="auto" w:fill="auto"/>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300" w:lineRule="exact"/>
              <w:jc w:val="left"/>
              <w:rPr>
                <w:rFonts w:ascii="方正书宋_GBK" w:eastAsia="方正书宋_GBK"/>
              </w:rPr>
            </w:pPr>
            <w:r>
              <w:rPr>
                <w:rFonts w:hint="eastAsia" w:ascii="方正书宋_GBK" w:eastAsia="方正书宋_GBK"/>
                <w:lang w:eastAsia="zh-CN"/>
              </w:rPr>
              <w:t>政法委</w:t>
            </w:r>
            <w:r>
              <w:rPr>
                <w:rFonts w:hint="eastAsia" w:ascii="方正书宋_GBK" w:eastAsia="方正书宋_GBK"/>
              </w:rPr>
              <w:t>（机关）</w:t>
            </w:r>
          </w:p>
        </w:tc>
        <w:tc>
          <w:tcPr>
            <w:tcW w:w="1134"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行政</w:t>
            </w:r>
          </w:p>
        </w:tc>
        <w:tc>
          <w:tcPr>
            <w:tcW w:w="1276" w:type="dxa"/>
            <w:shd w:val="clear" w:color="auto" w:fill="auto"/>
            <w:vAlign w:val="center"/>
          </w:tcPr>
          <w:p>
            <w:pPr>
              <w:spacing w:line="300" w:lineRule="exact"/>
              <w:jc w:val="center"/>
              <w:rPr>
                <w:rFonts w:hint="eastAsia" w:ascii="方正书宋_GBK" w:eastAsia="方正书宋_GBK"/>
                <w:lang w:eastAsia="zh-CN"/>
              </w:rPr>
            </w:pPr>
            <w:r>
              <w:rPr>
                <w:rFonts w:hint="eastAsia" w:ascii="方正书宋_GBK" w:eastAsia="方正书宋_GBK"/>
                <w:lang w:eastAsia="zh-CN"/>
              </w:rPr>
              <w:t>正科级</w:t>
            </w:r>
          </w:p>
        </w:tc>
        <w:tc>
          <w:tcPr>
            <w:tcW w:w="3013"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排查调处指导中心（事业））</w:t>
            </w:r>
          </w:p>
        </w:tc>
        <w:tc>
          <w:tcPr>
            <w:tcW w:w="1134"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shd w:val="clear" w:color="auto" w:fill="auto"/>
            <w:vAlign w:val="center"/>
          </w:tcPr>
          <w:p>
            <w:pPr>
              <w:spacing w:line="300" w:lineRule="exact"/>
              <w:jc w:val="center"/>
              <w:rPr>
                <w:rFonts w:ascii="方正书宋_GBK" w:eastAsia="方正书宋_GBK"/>
              </w:rPr>
            </w:pPr>
            <w:r>
              <w:rPr>
                <w:rFonts w:hint="eastAsia" w:ascii="方正书宋_GBK" w:eastAsia="方正书宋_GBK"/>
                <w:lang w:eastAsia="zh-CN"/>
              </w:rPr>
              <w:t>正科</w:t>
            </w:r>
            <w:r>
              <w:rPr>
                <w:rFonts w:hint="eastAsia" w:ascii="方正书宋_GBK" w:eastAsia="方正书宋_GBK"/>
              </w:rPr>
              <w:t>级</w:t>
            </w:r>
          </w:p>
        </w:tc>
        <w:tc>
          <w:tcPr>
            <w:tcW w:w="3013" w:type="dxa"/>
            <w:shd w:val="clear" w:color="auto" w:fill="auto"/>
            <w:vAlign w:val="center"/>
          </w:tcPr>
          <w:p>
            <w:pPr>
              <w:spacing w:line="300" w:lineRule="exact"/>
              <w:jc w:val="center"/>
              <w:rPr>
                <w:rFonts w:hint="eastAsia" w:ascii="方正书宋_GBK" w:eastAsia="方正书宋_GBK"/>
                <w:lang w:eastAsia="zh-CN"/>
              </w:rPr>
            </w:pPr>
            <w:r>
              <w:rPr>
                <w:rFonts w:hint="eastAsia" w:ascii="方正书宋_GBK" w:eastAsia="方正书宋_GBK"/>
                <w:lang w:eastAsia="zh-CN"/>
              </w:rPr>
              <w:t>财政全额拨款</w:t>
            </w:r>
          </w:p>
        </w:tc>
      </w:tr>
    </w:tbl>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按照预算管理有关规定，目前</w:t>
      </w:r>
      <w:r>
        <w:rPr>
          <w:rFonts w:hint="eastAsia" w:asciiTheme="minorEastAsia" w:hAnsiTheme="minorEastAsia" w:eastAsiaTheme="minorEastAsia" w:cstheme="minorEastAsia"/>
          <w:sz w:val="32"/>
          <w:szCs w:val="32"/>
          <w:lang w:eastAsia="zh-CN"/>
        </w:rPr>
        <w:t>单位</w:t>
      </w:r>
      <w:r>
        <w:rPr>
          <w:rFonts w:hint="eastAsia" w:asciiTheme="minorEastAsia" w:hAnsiTheme="minorEastAsia" w:eastAsiaTheme="minorEastAsia" w:cstheme="minorEastAsia"/>
          <w:sz w:val="32"/>
          <w:szCs w:val="32"/>
        </w:rPr>
        <w:t>预算的编制实行综合预算管理，即全部收入和支出都反映在预算中。</w:t>
      </w:r>
      <w:r>
        <w:rPr>
          <w:rFonts w:hint="eastAsia" w:asciiTheme="minorEastAsia" w:hAnsiTheme="minorEastAsia" w:eastAsiaTheme="minorEastAsia" w:cstheme="minorEastAsia"/>
          <w:sz w:val="32"/>
          <w:szCs w:val="32"/>
          <w:lang w:eastAsia="zh-CN"/>
        </w:rPr>
        <w:t>政法委机</w:t>
      </w:r>
      <w:r>
        <w:rPr>
          <w:rFonts w:hint="eastAsia" w:asciiTheme="minorEastAsia" w:hAnsiTheme="minorEastAsia" w:eastAsiaTheme="minorEastAsia" w:cstheme="minorEastAsia"/>
          <w:sz w:val="32"/>
          <w:szCs w:val="32"/>
        </w:rPr>
        <w:t>关及所属事业单位的收支包含在部门预算中。</w:t>
      </w:r>
    </w:p>
    <w:p>
      <w:p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1、收入说明</w:t>
      </w:r>
    </w:p>
    <w:p>
      <w:p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反映本部门当年全部收入。2019年预算收入</w:t>
      </w:r>
      <w:r>
        <w:rPr>
          <w:rFonts w:hint="eastAsia" w:asciiTheme="minorEastAsia" w:hAnsiTheme="minorEastAsia" w:eastAsiaTheme="minorEastAsia" w:cstheme="minorEastAsia"/>
          <w:sz w:val="32"/>
          <w:szCs w:val="32"/>
          <w:lang w:val="en-US" w:eastAsia="zh-CN"/>
        </w:rPr>
        <w:t>2613.83</w:t>
      </w:r>
      <w:r>
        <w:rPr>
          <w:rFonts w:hint="eastAsia" w:asciiTheme="minorEastAsia" w:hAnsiTheme="minorEastAsia" w:eastAsiaTheme="minorEastAsia" w:cstheme="minorEastAsia"/>
          <w:sz w:val="32"/>
          <w:szCs w:val="32"/>
        </w:rPr>
        <w:t>万元，其中：一般公共预算收入2</w:t>
      </w:r>
      <w:r>
        <w:rPr>
          <w:rFonts w:hint="eastAsia" w:asciiTheme="minorEastAsia" w:hAnsiTheme="minorEastAsia" w:eastAsiaTheme="minorEastAsia" w:cstheme="minorEastAsia"/>
          <w:sz w:val="32"/>
          <w:szCs w:val="32"/>
          <w:lang w:val="en-US" w:eastAsia="zh-CN"/>
        </w:rPr>
        <w:t>613.83</w:t>
      </w:r>
      <w:r>
        <w:rPr>
          <w:rFonts w:hint="eastAsia" w:asciiTheme="minorEastAsia" w:hAnsiTheme="minorEastAsia" w:eastAsiaTheme="minorEastAsia" w:cstheme="minorEastAsia"/>
          <w:sz w:val="32"/>
          <w:szCs w:val="32"/>
        </w:rPr>
        <w:t>万元，基金预算收入0万元，财政专户核拨收入0万元，其他来源收入</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w:t>
      </w:r>
    </w:p>
    <w:p>
      <w:p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2、支出说明</w:t>
      </w:r>
    </w:p>
    <w:p>
      <w:p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收支预算总表支出栏、基本支出表、项目支出表按经济分类和支出功能分类科目编制，反映</w:t>
      </w:r>
      <w:r>
        <w:rPr>
          <w:rFonts w:hint="eastAsia" w:asciiTheme="minorEastAsia" w:hAnsiTheme="minorEastAsia" w:eastAsiaTheme="minorEastAsia" w:cstheme="minorEastAsia"/>
          <w:sz w:val="32"/>
          <w:szCs w:val="32"/>
          <w:lang w:eastAsia="zh-CN"/>
        </w:rPr>
        <w:t>鹿泉区政法委</w:t>
      </w:r>
      <w:r>
        <w:rPr>
          <w:rFonts w:hint="eastAsia" w:asciiTheme="minorEastAsia" w:hAnsiTheme="minorEastAsia" w:eastAsiaTheme="minorEastAsia" w:cstheme="minorEastAsia"/>
          <w:sz w:val="32"/>
          <w:szCs w:val="32"/>
          <w:lang w:val="en-US" w:eastAsia="zh-CN"/>
        </w:rPr>
        <w:t>2019</w:t>
      </w:r>
      <w:r>
        <w:rPr>
          <w:rFonts w:hint="eastAsia" w:asciiTheme="minorEastAsia" w:hAnsiTheme="minorEastAsia" w:eastAsiaTheme="minorEastAsia" w:cstheme="minorEastAsia"/>
          <w:sz w:val="32"/>
          <w:szCs w:val="32"/>
        </w:rPr>
        <w:t>年度部门预算中支出预算的总体情况。2019年支出预算</w:t>
      </w:r>
      <w:r>
        <w:rPr>
          <w:rFonts w:hint="eastAsia" w:asciiTheme="minorEastAsia" w:hAnsiTheme="minorEastAsia" w:eastAsiaTheme="minorEastAsia" w:cstheme="minorEastAsia"/>
          <w:sz w:val="32"/>
          <w:szCs w:val="32"/>
          <w:lang w:val="en-US" w:eastAsia="zh-CN"/>
        </w:rPr>
        <w:t>2613.83</w:t>
      </w:r>
      <w:r>
        <w:rPr>
          <w:rFonts w:hint="eastAsia" w:asciiTheme="minorEastAsia" w:hAnsiTheme="minorEastAsia" w:eastAsiaTheme="minorEastAsia" w:cstheme="minorEastAsia"/>
          <w:sz w:val="32"/>
          <w:szCs w:val="32"/>
        </w:rPr>
        <w:t>万元，其中基本支出</w:t>
      </w:r>
      <w:r>
        <w:rPr>
          <w:rFonts w:hint="eastAsia" w:asciiTheme="minorEastAsia" w:hAnsiTheme="minorEastAsia" w:eastAsiaTheme="minorEastAsia" w:cstheme="minorEastAsia"/>
          <w:sz w:val="32"/>
          <w:szCs w:val="32"/>
          <w:lang w:val="en-US" w:eastAsia="zh-CN"/>
        </w:rPr>
        <w:t>603.73</w:t>
      </w:r>
      <w:r>
        <w:rPr>
          <w:rFonts w:hint="eastAsia" w:asciiTheme="minorEastAsia" w:hAnsiTheme="minorEastAsia" w:eastAsiaTheme="minorEastAsia" w:cstheme="minorEastAsia"/>
          <w:sz w:val="32"/>
          <w:szCs w:val="32"/>
        </w:rPr>
        <w:t>万元，包括人员经费</w:t>
      </w:r>
      <w:r>
        <w:rPr>
          <w:rFonts w:hint="eastAsia" w:asciiTheme="minorEastAsia" w:hAnsiTheme="minorEastAsia" w:eastAsiaTheme="minorEastAsia" w:cstheme="minorEastAsia"/>
          <w:sz w:val="32"/>
          <w:szCs w:val="32"/>
          <w:lang w:val="en-US" w:eastAsia="zh-CN"/>
        </w:rPr>
        <w:t>493.48</w:t>
      </w:r>
      <w:r>
        <w:rPr>
          <w:rFonts w:hint="eastAsia" w:asciiTheme="minorEastAsia" w:hAnsiTheme="minorEastAsia" w:eastAsiaTheme="minorEastAsia" w:cstheme="minorEastAsia"/>
          <w:sz w:val="32"/>
          <w:szCs w:val="32"/>
        </w:rPr>
        <w:t>万元和日常公用经费</w:t>
      </w:r>
      <w:r>
        <w:rPr>
          <w:rFonts w:hint="eastAsia" w:asciiTheme="minorEastAsia" w:hAnsiTheme="minorEastAsia" w:eastAsiaTheme="minorEastAsia" w:cstheme="minorEastAsia"/>
          <w:sz w:val="32"/>
          <w:szCs w:val="32"/>
          <w:lang w:val="en-US" w:eastAsia="zh-CN"/>
        </w:rPr>
        <w:t>110.25</w:t>
      </w:r>
      <w:r>
        <w:rPr>
          <w:rFonts w:hint="eastAsia" w:asciiTheme="minorEastAsia" w:hAnsiTheme="minorEastAsia" w:eastAsiaTheme="minorEastAsia" w:cstheme="minorEastAsia"/>
          <w:sz w:val="32"/>
          <w:szCs w:val="32"/>
        </w:rPr>
        <w:t>万元；项目支出</w:t>
      </w:r>
      <w:r>
        <w:rPr>
          <w:rFonts w:hint="eastAsia" w:asciiTheme="minorEastAsia" w:hAnsiTheme="minorEastAsia" w:eastAsiaTheme="minorEastAsia" w:cstheme="minorEastAsia"/>
          <w:sz w:val="32"/>
          <w:szCs w:val="32"/>
          <w:lang w:val="en-US" w:eastAsia="zh-CN"/>
        </w:rPr>
        <w:t>2010.1</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包括政法网建设、综治中心建设、铁路沿线视频监控系统建设项目资金，以及综治大案要案、护路执勤补贴、精神障碍患者补助金、维稳经费、涉法涉诉补助金等。</w:t>
      </w:r>
    </w:p>
    <w:p>
      <w:pPr>
        <w:numPr>
          <w:ilvl w:val="0"/>
          <w:numId w:val="1"/>
        </w:num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比上年增减情况</w:t>
      </w:r>
    </w:p>
    <w:p>
      <w:pPr>
        <w:numPr>
          <w:ilvl w:val="0"/>
          <w:numId w:val="0"/>
        </w:num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区委政法委与区公安局与2018年6月财务分离，故无法比较。</w:t>
      </w:r>
    </w:p>
    <w:p>
      <w:pPr>
        <w:autoSpaceDE w:val="0"/>
        <w:autoSpaceDN w:val="0"/>
        <w:adjustRightInd w:val="0"/>
        <w:ind w:firstLine="640" w:firstLineChars="200"/>
        <w:jc w:val="left"/>
        <w:rPr>
          <w:rFonts w:hint="eastAsia" w:asciiTheme="minorEastAsia" w:hAnsiTheme="minorEastAsia" w:eastAsiaTheme="minorEastAsia" w:cstheme="minorEastAsia"/>
          <w:sz w:val="32"/>
          <w:szCs w:val="32"/>
        </w:rPr>
      </w:pPr>
      <w:bookmarkStart w:id="4" w:name="_GoBack"/>
      <w:bookmarkEnd w:id="4"/>
      <w:r>
        <w:rPr>
          <w:rFonts w:hint="eastAsia" w:asciiTheme="minorEastAsia" w:hAnsiTheme="minorEastAsia" w:eastAsiaTheme="minorEastAsia" w:cstheme="minorEastAsia"/>
          <w:sz w:val="32"/>
          <w:szCs w:val="32"/>
        </w:rPr>
        <w:t>三、机关运行经费安排情况</w:t>
      </w:r>
    </w:p>
    <w:p>
      <w:pPr>
        <w:ind w:firstLine="640" w:firstLineChars="200"/>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rPr>
        <w:t>2019年，我</w:t>
      </w:r>
      <w:r>
        <w:rPr>
          <w:rFonts w:hint="eastAsia" w:asciiTheme="minorEastAsia" w:hAnsiTheme="minorEastAsia" w:eastAsiaTheme="minorEastAsia" w:cstheme="minorEastAsia"/>
          <w:color w:val="auto"/>
          <w:sz w:val="32"/>
          <w:szCs w:val="32"/>
          <w:highlight w:val="none"/>
          <w:lang w:eastAsia="zh-CN"/>
        </w:rPr>
        <w:t>委</w:t>
      </w:r>
      <w:r>
        <w:rPr>
          <w:rFonts w:hint="eastAsia" w:asciiTheme="minorEastAsia" w:hAnsiTheme="minorEastAsia" w:eastAsiaTheme="minorEastAsia" w:cstheme="minorEastAsia"/>
          <w:color w:val="auto"/>
          <w:sz w:val="32"/>
          <w:szCs w:val="32"/>
          <w:highlight w:val="none"/>
        </w:rPr>
        <w:t>机关运行经费共计安排</w:t>
      </w:r>
      <w:r>
        <w:rPr>
          <w:rFonts w:hint="eastAsia" w:asciiTheme="minorEastAsia" w:hAnsiTheme="minorEastAsia" w:eastAsiaTheme="minorEastAsia" w:cstheme="minorEastAsia"/>
          <w:color w:val="auto"/>
          <w:sz w:val="32"/>
          <w:szCs w:val="32"/>
          <w:highlight w:val="none"/>
          <w:lang w:val="en-US" w:eastAsia="zh-CN"/>
        </w:rPr>
        <w:t>10</w:t>
      </w:r>
      <w:r>
        <w:rPr>
          <w:rFonts w:hint="eastAsia" w:asciiTheme="minorEastAsia" w:hAnsiTheme="minorEastAsia" w:eastAsiaTheme="minorEastAsia" w:cstheme="minorEastAsia"/>
          <w:color w:val="auto"/>
          <w:sz w:val="32"/>
          <w:szCs w:val="32"/>
          <w:highlight w:val="none"/>
        </w:rPr>
        <w:t>万元，主要用于</w:t>
      </w:r>
      <w:r>
        <w:rPr>
          <w:rFonts w:hint="eastAsia" w:asciiTheme="minorEastAsia" w:hAnsiTheme="minorEastAsia" w:eastAsiaTheme="minorEastAsia" w:cstheme="minorEastAsia"/>
          <w:color w:val="auto"/>
          <w:sz w:val="32"/>
          <w:szCs w:val="32"/>
          <w:highlight w:val="none"/>
          <w:lang w:eastAsia="zh-CN"/>
        </w:rPr>
        <w:t>综治中心</w:t>
      </w:r>
      <w:r>
        <w:rPr>
          <w:rFonts w:hint="eastAsia" w:asciiTheme="minorEastAsia" w:hAnsiTheme="minorEastAsia" w:eastAsiaTheme="minorEastAsia" w:cstheme="minorEastAsia"/>
          <w:color w:val="auto"/>
          <w:sz w:val="32"/>
          <w:szCs w:val="32"/>
          <w:highlight w:val="none"/>
        </w:rPr>
        <w:t>日常维修、办公用房水电费、办公用房取暖费、办公用房物业管理费等日常运行支出。</w:t>
      </w:r>
    </w:p>
    <w:p>
      <w:pPr>
        <w:autoSpaceDE w:val="0"/>
        <w:autoSpaceDN w:val="0"/>
        <w:adjustRightInd w:val="0"/>
        <w:ind w:left="198"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四、财政拨款“三公”经费预算情况及增减变化原因</w:t>
      </w:r>
    </w:p>
    <w:p>
      <w:pPr>
        <w:numPr>
          <w:ilvl w:val="0"/>
          <w:numId w:val="0"/>
        </w:numP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2019年，我厅财政拨款“三公”经费预算安排</w:t>
      </w:r>
      <w:r>
        <w:rPr>
          <w:rFonts w:hint="eastAsia" w:asciiTheme="minorEastAsia" w:hAnsiTheme="minorEastAsia" w:eastAsiaTheme="minorEastAsia" w:cstheme="minorEastAsia"/>
          <w:sz w:val="32"/>
          <w:szCs w:val="32"/>
          <w:lang w:val="en-US" w:eastAsia="zh-CN"/>
        </w:rPr>
        <w:t>8.4</w:t>
      </w:r>
      <w:r>
        <w:rPr>
          <w:rFonts w:hint="eastAsia" w:asciiTheme="minorEastAsia" w:hAnsiTheme="minorEastAsia" w:eastAsiaTheme="minorEastAsia" w:cstheme="minorEastAsia"/>
          <w:sz w:val="32"/>
          <w:szCs w:val="32"/>
        </w:rPr>
        <w:t>万元，其中公务用车运维费</w:t>
      </w:r>
      <w:r>
        <w:rPr>
          <w:rFonts w:hint="eastAsia" w:asciiTheme="minorEastAsia" w:hAnsiTheme="minorEastAsia" w:eastAsiaTheme="minorEastAsia" w:cstheme="minorEastAsia"/>
          <w:sz w:val="32"/>
          <w:szCs w:val="32"/>
          <w:lang w:val="en-US" w:eastAsia="zh-CN"/>
        </w:rPr>
        <w:t>5.4</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公务接待费</w:t>
      </w:r>
      <w:r>
        <w:rPr>
          <w:rFonts w:hint="eastAsia"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val="en-US" w:eastAsia="zh-CN"/>
        </w:rPr>
        <w:t>区委政法委与区公安局与2018年6月财务分离，故无法比较。</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ind w:firstLine="640" w:firstLineChars="200"/>
        <w:jc w:val="left"/>
        <w:rPr>
          <w:rFonts w:hint="eastAsia"/>
          <w:sz w:val="32"/>
        </w:rPr>
      </w:pPr>
      <w:r>
        <w:rPr>
          <w:rFonts w:hint="eastAsia"/>
          <w:sz w:val="32"/>
        </w:rPr>
        <w:t>积极围绕全面建设小康社会、建设法治中国、平安中国的目标和区委、区政府的工作大局，以新中国成立70周年安全稳定为主线，深入开展扫黑除恶斗争，加快推进基层社会治理现代化，全面</w:t>
      </w:r>
    </w:p>
    <w:p>
      <w:pPr>
        <w:pStyle w:val="19"/>
        <w:widowControl/>
        <w:spacing w:beforeLines="0" w:afterLines="0"/>
        <w:rPr>
          <w:rFonts w:hint="eastAsia"/>
          <w:sz w:val="32"/>
        </w:rPr>
      </w:pPr>
      <w:r>
        <w:rPr>
          <w:rFonts w:hint="eastAsia"/>
          <w:sz w:val="32"/>
        </w:rPr>
        <w:t>推进平安鹿泉、法治鹿泉、和谐鹿泉建设，确保全区政治平安、社会稳定，实现政法综治工作再上新台阶。</w:t>
      </w:r>
    </w:p>
    <w:p>
      <w:pPr>
        <w:ind w:firstLine="560"/>
        <w:rPr>
          <w:rFonts w:hint="eastAsia" w:ascii="Times New Roman" w:hAnsi="Times New Roman" w:eastAsia="方正仿宋_GBK" w:cs="Times New Roman"/>
          <w:sz w:val="32"/>
          <w:szCs w:val="32"/>
        </w:rPr>
      </w:pPr>
    </w:p>
    <w:p>
      <w:pPr>
        <w:ind w:firstLine="640"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pStyle w:val="19"/>
        <w:widowControl/>
        <w:spacing w:beforeLines="0" w:afterLines="0"/>
        <w:rPr>
          <w:rFonts w:hint="eastAsia"/>
          <w:sz w:val="32"/>
        </w:rPr>
      </w:pPr>
      <w:r>
        <w:rPr>
          <w:rFonts w:hint="eastAsia"/>
          <w:sz w:val="32"/>
        </w:rPr>
        <w:t xml:space="preserve">   1、统筹协调指导社会稳定工作，分析研判社会稳定形势，组织开展社会稳定风险防控，危险管控；统筹协调和督导政法等单位排查、化解影响社会稳定的重大隐患风险。调查研究全区涉邪教问题，了解掌握邪教和社会有危害气功组织的情况，分析研判形势，提出建议；协调推动各相关部门做好反邪教工作，统筹部署开展重大专项斗争活动。</w:t>
      </w:r>
    </w:p>
    <w:p>
      <w:pPr>
        <w:pStyle w:val="19"/>
        <w:widowControl/>
        <w:spacing w:beforeLines="0" w:afterLines="0"/>
        <w:rPr>
          <w:rFonts w:hint="eastAsia"/>
          <w:sz w:val="32"/>
        </w:rPr>
      </w:pPr>
      <w:r>
        <w:rPr>
          <w:rFonts w:hint="eastAsia"/>
          <w:sz w:val="32"/>
        </w:rPr>
        <w:t xml:space="preserve">    2、调查分析全区社会治安形势并提出建议；指导落实社会治安综合治理领导责任制，承担社会治安综合治理工作的组织协调、督导检查和综合考评；指导协调各乡（镇、区）各部门推进扫黑除恶、社会治安重点地区和突出治安问题排查整治、社会治安防控体系建设；协调推动重点领域、行业、物品安全管理；调查研究流动人口、特殊人群和重点青少年群体等服务管理工作有关问题并提出建议；协调推动建立覆盖全部实有人口的动态管理体系、特殊人群社会关怀帮扶体系；指导协调预防青少年违法犯罪工作。</w:t>
      </w:r>
    </w:p>
    <w:p>
      <w:pPr>
        <w:pStyle w:val="19"/>
        <w:widowControl/>
        <w:spacing w:beforeLines="0" w:afterLines="0"/>
        <w:rPr>
          <w:rFonts w:hint="eastAsia"/>
          <w:sz w:val="32"/>
        </w:rPr>
      </w:pPr>
      <w:r>
        <w:rPr>
          <w:rFonts w:hint="eastAsia"/>
          <w:sz w:val="32"/>
        </w:rPr>
        <w:t xml:space="preserve">    3、协调推进基层社会治安综合治理体系建设，推动开展基层平安创建活动；指导协调推动全区各级综治中心建设，深化拓展网格化服务管理，完善乡（镇、区）、村综治维稳机制；指导协调公用设施和重要基础设施安全防护、护路护线联防、校园和医院周边社会治安综合治理工作；调查研究非公有制经济组织、社会组织服务管理有关问题提出建议；研究完善群众利益协调机制，组织协调矛盾多元化解工作。</w:t>
      </w:r>
    </w:p>
    <w:p>
      <w:pPr>
        <w:pStyle w:val="19"/>
        <w:widowControl/>
        <w:spacing w:beforeLines="0" w:afterLines="0"/>
        <w:rPr>
          <w:rFonts w:hint="eastAsia"/>
          <w:sz w:val="32"/>
        </w:rPr>
      </w:pPr>
      <w:r>
        <w:rPr>
          <w:rFonts w:hint="eastAsia"/>
          <w:sz w:val="32"/>
        </w:rPr>
        <w:t xml:space="preserve">    4、负责组织协调涉法涉诉信访案件，对全区涉法涉诉案件进行调查研究和分析研判，提出意见建议；组织政法单位开展国家司法救助工作，提出司法救助意见。</w:t>
      </w:r>
    </w:p>
    <w:p>
      <w:pPr>
        <w:pStyle w:val="19"/>
        <w:widowControl/>
        <w:spacing w:beforeLines="0" w:afterLines="0"/>
        <w:rPr>
          <w:rFonts w:hint="eastAsia"/>
          <w:sz w:val="32"/>
        </w:rPr>
      </w:pPr>
      <w:r>
        <w:rPr>
          <w:rFonts w:hint="eastAsia"/>
          <w:sz w:val="32"/>
        </w:rPr>
        <w:t xml:space="preserve">    5、统筹全区政法系统信息化工作，制定总体规划、阶段目标；组织全区政法系统信息化基础性、公共性设施项目规划、建设；指导政法智能化建设，协调政法网与其他电子政务系统融合发展；指导全区政法网信息安全保障体系建设，协调信息安全应急处置工作；负责区委政法委机关信息化项目建设和运维工作。</w:t>
      </w:r>
    </w:p>
    <w:p>
      <w:pPr>
        <w:pStyle w:val="19"/>
        <w:widowControl/>
        <w:spacing w:beforeLines="0" w:afterLines="0"/>
        <w:rPr>
          <w:rFonts w:hint="eastAsia"/>
          <w:sz w:val="32"/>
        </w:rPr>
      </w:pPr>
    </w:p>
    <w:p>
      <w:pPr>
        <w:ind w:firstLine="560"/>
        <w:rPr>
          <w:rFonts w:hint="eastAsia" w:ascii="楷体_GB2312" w:hAnsi="黑体" w:eastAsia="楷体_GB2312" w:cs="Times New Roman"/>
          <w:b/>
          <w:sz w:val="32"/>
          <w:szCs w:val="32"/>
        </w:rPr>
      </w:pPr>
      <w:r>
        <w:rPr>
          <w:rFonts w:hint="eastAsia" w:ascii="楷体_GB2312" w:hAnsi="黑体" w:eastAsia="楷体_GB2312" w:cs="Times New Roman"/>
          <w:b/>
          <w:sz w:val="32"/>
          <w:szCs w:val="32"/>
        </w:rPr>
        <w:t>部门职责及工作活动绩效目标指标：</w:t>
      </w:r>
    </w:p>
    <w:p>
      <w:pPr>
        <w:ind w:firstLine="560"/>
        <w:rPr>
          <w:rFonts w:hint="eastAsia" w:ascii="楷体_GB2312" w:hAnsi="黑体" w:eastAsia="楷体_GB2312" w:cs="Times New Roman"/>
          <w:b/>
          <w:sz w:val="32"/>
          <w:szCs w:val="32"/>
        </w:rPr>
      </w:pPr>
    </w:p>
    <w:p>
      <w:pPr>
        <w:ind w:firstLine="560"/>
        <w:rPr>
          <w:rFonts w:hint="eastAsia" w:ascii="楷体_GB2312" w:hAnsi="黑体" w:eastAsia="楷体_GB2312" w:cs="Times New Roman"/>
          <w:b/>
          <w:sz w:val="32"/>
          <w:szCs w:val="32"/>
        </w:rPr>
      </w:pPr>
    </w:p>
    <w:bookmarkEnd w:id="0"/>
    <w:p>
      <w:pPr>
        <w:jc w:val="center"/>
        <w:outlineLvl w:val="0"/>
        <w:rPr>
          <w:rFonts w:ascii="方正小标宋_GBK" w:eastAsia="方正小标宋_GBK"/>
          <w:color w:val="FFFFFF"/>
          <w:sz w:val="32"/>
        </w:rPr>
      </w:pPr>
      <w:bookmarkStart w:id="1" w:name="_Toc2526421"/>
      <w:r>
        <w:rPr>
          <w:rFonts w:hint="eastAsia" w:ascii="方正小标宋_GBK" w:eastAsia="方正小标宋_GBK"/>
          <w:sz w:val="32"/>
        </w:rPr>
        <w:t>部门职责-工作活动绩效目标</w:t>
      </w:r>
      <w:r>
        <w:rPr>
          <w:rStyle w:val="11"/>
          <w:rFonts w:ascii="方正小标宋_GBK" w:eastAsia="方正小标宋_GBK"/>
          <w:color w:val="FFFFFF"/>
          <w:sz w:val="32"/>
        </w:rPr>
        <w:footnoteReference w:id="0" w:customMarkFollows="1"/>
        <w:sym w:font="Symbol" w:char="F020"/>
      </w:r>
      <w:bookmarkEnd w:id="1"/>
    </w:p>
    <w:tbl>
      <w:tblPr>
        <w:tblStyle w:val="12"/>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217</w:t>
            </w:r>
            <w:r>
              <w:rPr>
                <w:rFonts w:hint="eastAsia" w:ascii="方正小标宋_GBK" w:eastAsia="方正小标宋_GBK"/>
                <w:sz w:val="24"/>
              </w:rPr>
              <w:t>中共石家庄市鹿泉区委政法委员会</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一、维护社会稳定</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组织协调全区、指导全区维护社会稳定工作。全力做好重点群体、重点人员以及涉军人员的稳控工作。加大涉稳信息的报送以及网络舆情研判工作，及时发现涉稳隐患，防止发生恶性事件。</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全力做好春节、全国两会等重要时间节点的维稳工作，保质保量完成上级部门交办的各项任务。每月对各乡镇（区）信访稳定情况深入分析，准确查找问题症结，及时通报，定期印发《石家庄市鹿泉区社会稳定评价报告》。对涉及我区的新建项目按照《重大决策社会稳定风险评估机制实施意见》进行社会稳定风险评估。</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10.00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全力做好重点群体、重点人员以及涉军人员稳控工作；加大涉稳信息的报送及网络舆情研判工作，及时发现涉稳隐患，防止发生恶性事件。</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涉情信息处理及时</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涉情信息及时率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及时</w:t>
            </w: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不及时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二、社会治安综合治理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979.57</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根据我区社会治安状况，研究提出社会治安综合治理工作思路、措施，提供区委、政府决策。办理区委、政府和上级部门赋予的其他综合事项。组织有关部门加强社会治安综合治理的理论研究，探索和创新社会治安综合治理工作。对一个时期内的综合工作作出安排部署并督促实施。总结、推广、宣传社会治安综合治理工作实践经验和先进典型。</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调查研究，及时分析社会治安突出问题，通报社会治安形势，指导、协调、推动乡镇各部门各单位落实综治各项工作措施，协调解决工作中遇到的突出问题。组织实施综治（平安建设）的日常考核和年度考核，会同有关部门对考核中取得优秀、良好、合格等次的部门和单位分层次实施奖励。组织协调有关单位围绕群众反映强烈的治安重点、难点问题齐抓共管，动员组织党员，群众和社会各界有序参与和统筹推进社会治安综合治理工作。</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、铁路沿线护路工作</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148.00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宣传发动、组织协调辖区内各级各部门、基础组织和企事业单位积极参与，群防群治，维护铁路沿线治安。组织开展爱路护路宣传教育，铁路治安隐患排查整治，涉路矛盾纠纷调处化解等工作。加强和铁路部门的沟通与配合妥善解决涉路有关问题，形成路地工作合力。做好全国</w:t>
            </w:r>
            <w:r>
              <w:rPr>
                <w:rFonts w:hint="cs" w:ascii="方正书宋_GBK" w:eastAsia="方正书宋_GBK"/>
              </w:rPr>
              <w:t>“</w:t>
            </w:r>
            <w:r>
              <w:rPr>
                <w:rFonts w:hint="eastAsia" w:ascii="方正书宋_GBK" w:eastAsia="方正书宋_GBK"/>
              </w:rPr>
              <w:t>两会</w:t>
            </w:r>
            <w:r>
              <w:rPr>
                <w:rFonts w:hint="cs" w:ascii="方正书宋_GBK" w:eastAsia="方正书宋_GBK"/>
              </w:rPr>
              <w:t>”</w:t>
            </w:r>
            <w:r>
              <w:rPr>
                <w:rFonts w:hint="eastAsia" w:ascii="方正书宋_GBK" w:eastAsia="方正书宋_GBK"/>
              </w:rPr>
              <w:t>、暑期和重大国事活动期间铁路护路联防工作，确保辖区内铁路安全，万无一失。</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涉路问题排查化解及时率</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护路宣传</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涉路问题排查化解率及时率</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及时</w:t>
            </w: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不及时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、见义勇为</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25.00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以发扬中华民族传统美德，弘扬社会正气，倡导见义勇为促进社会主义精神文明建设，以加强社会治安综合治理为宗旨，以表彰奖励见义勇为先进分子，宣传英雄人物和英雄事迹。</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符合见义勇为行为人奖金发放率</w:t>
            </w:r>
            <w:r>
              <w:rPr>
                <w:rFonts w:ascii="方正书宋_GBK" w:eastAsia="方正书宋_GBK"/>
              </w:rPr>
              <w:t>100%</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补助人员生活情况</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改善</w:t>
            </w: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未改善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见义勇为资金发放率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、矛盾纠纷排查调处</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67.82</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开展矛盾纠纷日常查调处工作，对敏感期、重大节点、重大矛盾纠纷、重点领域、重点人群集中排查、化解和管控工作。探索、创新矛盾纠纷排查化解工作的新方法、新举措，积极推进以诉前调节、行业调节为特点的</w:t>
            </w:r>
            <w:r>
              <w:rPr>
                <w:rFonts w:hint="cs" w:ascii="方正书宋_GBK" w:eastAsia="方正书宋_GBK"/>
              </w:rPr>
              <w:t>“</w:t>
            </w:r>
            <w:r>
              <w:rPr>
                <w:rFonts w:hint="eastAsia" w:ascii="方正书宋_GBK" w:eastAsia="方正书宋_GBK"/>
              </w:rPr>
              <w:t>三位一体</w:t>
            </w:r>
            <w:r>
              <w:rPr>
                <w:rFonts w:hint="cs" w:ascii="方正书宋_GBK" w:eastAsia="方正书宋_GBK"/>
              </w:rPr>
              <w:t>”</w:t>
            </w:r>
            <w:r>
              <w:rPr>
                <w:rFonts w:hint="eastAsia" w:ascii="方正书宋_GBK" w:eastAsia="方正书宋_GBK"/>
              </w:rPr>
              <w:t>大调解工作，加强源头预防。对每月重大矛盾纠纷、形势命案分析会的会议议程，拿出初步意见。对辖区内发生的刑事命案进行出查，对是否进行调查评议拿出初步意见。对精神障碍患者会、商会的会议议程拿出初步意见，辖区内发生疑似精神障碍患者肇事肇祸案（事）件时，组织协调区直相关部门做好应急处置工作，对相关部门日常管控中遇到的困难问题进行协调。组织对辖区内发生的疑似精神障碍患者肇事肇祸案（事）件进行出查，对是否进行调查评议拿出初步意见。</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以奖代补资金发放率</w:t>
            </w:r>
            <w:r>
              <w:rPr>
                <w:rFonts w:ascii="方正书宋_GBK" w:eastAsia="方正书宋_GBK"/>
              </w:rPr>
              <w:t>100%</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以奖代补发放率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738.75</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组织有关部门加强社会治安综合治理的理论研究，探索和创新社会治安综合治理工作。对阶段性综治工作作出安排部署并督促实施。用于社会治安综合治理解决重大问题，应对重大案件的支出。</w:t>
            </w:r>
          </w:p>
        </w:tc>
        <w:tc>
          <w:tcPr>
            <w:tcW w:w="2976" w:type="dxa"/>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三、法论功及邪教组织防范控制</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辖区有关单位防范和处理邪教问题的工作；协调有关反邪教的社会宣传；负责有关处理邪教和对社会有危害的气功组织问题的协调、指导工作；承担领导小组日常工作，督促与协调会议决定事项的落实；完成处理领导小组交办的其他事项。</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分析形势，总结工作经验，为党委、政府的决策当好参谋、助手；负责向党委、政府报告防范和处理邪教问题工作中的重要情况，提出处理意见和措施。</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、综合事务管理</w:t>
            </w:r>
          </w:p>
        </w:tc>
        <w:tc>
          <w:tcPr>
            <w:tcW w:w="1276" w:type="dxa"/>
            <w:vMerge w:val="restart"/>
            <w:shd w:val="clear" w:color="auto" w:fill="auto"/>
            <w:vAlign w:val="center"/>
          </w:tcPr>
          <w:p>
            <w:pPr>
              <w:spacing w:line="300" w:lineRule="exact"/>
              <w:jc w:val="left"/>
              <w:rPr>
                <w:rFonts w:ascii="方正书宋_GBK" w:eastAsia="方正书宋_GBK"/>
              </w:rPr>
            </w:pPr>
            <w:r>
              <w:rPr>
                <w:rFonts w:ascii="方正书宋_GBK" w:eastAsia="方正书宋_GBK"/>
              </w:rPr>
              <w:t>5.00</w:t>
            </w:r>
          </w:p>
        </w:tc>
        <w:tc>
          <w:tcPr>
            <w:tcW w:w="2976" w:type="dxa"/>
            <w:vMerge w:val="restart"/>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辖区有关单位防范和处理邪教问题的工作；协调有关反邪教的社会宣传；负责有关处理邪教和对社会有危害的气功组织问题的协调、指导工作；承担领导小组日常工作，督促与协调会议决定事项的落实；完成处理领导小组交办的其他事项。</w:t>
            </w:r>
          </w:p>
        </w:tc>
        <w:tc>
          <w:tcPr>
            <w:tcW w:w="2976" w:type="dxa"/>
            <w:vMerge w:val="restart"/>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反邪教警示教育宣传效果</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良好</w:t>
            </w: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vAlign w:val="center"/>
          </w:tcPr>
          <w:p>
            <w:pPr>
              <w:spacing w:line="300" w:lineRule="exact"/>
              <w:jc w:val="left"/>
              <w:rPr>
                <w:rFonts w:hint="eastAsia" w:ascii="方正书宋_GBK" w:eastAsia="方正书宋_GBK"/>
                <w:b/>
              </w:rPr>
            </w:pPr>
          </w:p>
        </w:tc>
        <w:tc>
          <w:tcPr>
            <w:tcW w:w="1276" w:type="dxa"/>
            <w:vMerge w:val="continue"/>
            <w:shd w:val="clear" w:color="auto" w:fill="auto"/>
            <w:vAlign w:val="center"/>
          </w:tcPr>
          <w:p>
            <w:pPr>
              <w:spacing w:line="300" w:lineRule="exact"/>
              <w:jc w:val="left"/>
              <w:rPr>
                <w:rFonts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2976" w:type="dxa"/>
            <w:vMerge w:val="continue"/>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贫困法轮功救助慰问人群生活改善情况</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改善</w:t>
            </w: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未改善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四、综合事务管理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985.52</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组织指导全区政法调研工作。调负责政法各部门综合性事项的督办督查。负责全区特困干警的救助工作。负责全区政法部门的思想政治教育工作，指导全区政法部门的教育培训工作。负责有关政法工作全局性和综合性的文字材料的起草工作并研究提出有关政法工作改革的建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按照事后监督原则，对可能存在的执法问题、群众反映强烈、在社会上有重大影响的案件组织案件评查，推进严格公正执法。对各政法部门的重大执法活动和事项进行备案。查掌握全区政法工作情况，提出阶段性有关政法全局工作性的意见、建议，研究政法工作新情况新问题，提出相应的措施。</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985.52</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负责组织指导全区政法调研工作。调负责政法各部门综合性事项的督办督查。负责全区特困干警的救助工作。负责全区政法部门的思想政治教育工作，指导全区政法部门的教育培训工作。负责有关政法工作全局性和综合性的文字材料的起草工作并研究提出有关政法工作改革的建议。</w:t>
            </w:r>
          </w:p>
        </w:tc>
        <w:tc>
          <w:tcPr>
            <w:tcW w:w="2976" w:type="dxa"/>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五、涉法涉诉</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接待来访。接待、办理上访群众提出的涉法涉诉上访事项，解答来访群众提出的有关法律问题，提供法律咨询和法律服务。</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指导稳控。对上级交办和本级需要稳控的案件，责成当地基层组织和有关部门、单位做好相关人员的教育稳控工作。清理积案。按照上级要求，具体组织清理信访积案。建议倒查。对本级发现的执法过错或执法瑕疵案件提出责任倒查建议。</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、综合事务管理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30.00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承办案件。承办上级和当地党委、政府交办、转办的信访案件并及时反馈。分析研究涉法涉诉信访形势，为领导决策提出意见建议。及时救助。及对符合条件的申请人，办案机关应根据申请人申请或依据职权及时提供救助。</w:t>
            </w:r>
          </w:p>
        </w:tc>
        <w:tc>
          <w:tcPr>
            <w:tcW w:w="2976" w:type="dxa"/>
            <w:shd w:val="clear" w:color="auto" w:fill="auto"/>
            <w:vAlign w:val="center"/>
          </w:tcPr>
          <w:p>
            <w:pPr>
              <w:spacing w:line="300" w:lineRule="exact"/>
              <w:jc w:val="left"/>
              <w:rPr>
                <w:rFonts w:hint="eastAsia" w:ascii="方正书宋_GBK" w:eastAsia="方正书宋_GBK"/>
              </w:rPr>
            </w:pP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bl>
    <w:p>
      <w:pPr>
        <w:autoSpaceDE w:val="0"/>
        <w:autoSpaceDN w:val="0"/>
        <w:adjustRightInd w:val="0"/>
        <w:ind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六、政府采购预算情况</w:t>
      </w:r>
    </w:p>
    <w:p>
      <w:pPr>
        <w:outlineLvl w:val="0"/>
        <w:rPr>
          <w:rFonts w:hint="eastAsia" w:ascii="仿宋" w:hAnsi="仿宋" w:eastAsia="仿宋" w:cs="仿宋"/>
          <w:sz w:val="32"/>
          <w:szCs w:val="32"/>
        </w:rPr>
      </w:pPr>
      <w:bookmarkStart w:id="2" w:name="_Toc471398468"/>
      <w:r>
        <w:rPr>
          <w:rFonts w:ascii="Times New Roman" w:hAnsi="Times New Roman" w:eastAsia="方正仿宋_GBK" w:cs="Times New Roman"/>
          <w:sz w:val="32"/>
          <w:szCs w:val="24"/>
        </w:rPr>
        <w:t xml:space="preserve">   </w:t>
      </w:r>
      <w:r>
        <w:rPr>
          <w:rFonts w:hint="eastAsia" w:ascii="仿宋" w:hAnsi="仿宋" w:eastAsia="仿宋" w:cs="仿宋"/>
          <w:sz w:val="32"/>
          <w:szCs w:val="32"/>
        </w:rPr>
        <w:t>2019年，我</w:t>
      </w:r>
      <w:r>
        <w:rPr>
          <w:rFonts w:hint="eastAsia" w:ascii="仿宋" w:hAnsi="仿宋" w:eastAsia="仿宋" w:cs="仿宋"/>
          <w:sz w:val="32"/>
          <w:szCs w:val="32"/>
          <w:lang w:eastAsia="zh-CN"/>
        </w:rPr>
        <w:t>委</w:t>
      </w:r>
      <w:r>
        <w:rPr>
          <w:rFonts w:hint="eastAsia" w:ascii="仿宋" w:hAnsi="仿宋" w:eastAsia="仿宋" w:cs="仿宋"/>
          <w:sz w:val="32"/>
          <w:szCs w:val="32"/>
        </w:rPr>
        <w:t>安排政府采购预算</w:t>
      </w:r>
      <w:r>
        <w:rPr>
          <w:rFonts w:hint="eastAsia" w:ascii="仿宋" w:hAnsi="仿宋" w:eastAsia="仿宋" w:cs="仿宋"/>
          <w:sz w:val="32"/>
          <w:szCs w:val="32"/>
          <w:lang w:val="en-US" w:eastAsia="zh-CN"/>
        </w:rPr>
        <w:t>204.41</w:t>
      </w:r>
      <w:r>
        <w:rPr>
          <w:rFonts w:hint="eastAsia" w:ascii="仿宋" w:hAnsi="仿宋" w:eastAsia="仿宋" w:cs="仿宋"/>
          <w:sz w:val="32"/>
          <w:szCs w:val="32"/>
        </w:rPr>
        <w:t>万元。具体内容见下表。</w:t>
      </w:r>
    </w:p>
    <w:p>
      <w:pPr>
        <w:jc w:val="center"/>
        <w:outlineLvl w:val="0"/>
        <w:rPr>
          <w:rFonts w:hint="eastAsia" w:ascii="方正小标宋_GBK" w:eastAsia="方正小标宋_GBK"/>
          <w:sz w:val="32"/>
        </w:rPr>
      </w:pPr>
      <w:bookmarkStart w:id="3" w:name="_Toc2526427"/>
      <w:r>
        <w:rPr>
          <w:rFonts w:hint="eastAsia" w:ascii="方正小标宋_GBK" w:eastAsia="方正小标宋_GBK"/>
          <w:sz w:val="32"/>
        </w:rPr>
        <w:t>部门政府采购预算</w:t>
      </w:r>
      <w:bookmarkEnd w:id="3"/>
    </w:p>
    <w:tbl>
      <w:tblPr>
        <w:tblStyle w:val="12"/>
        <w:tblW w:w="1456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48"/>
        <w:gridCol w:w="1099"/>
        <w:gridCol w:w="974"/>
        <w:gridCol w:w="986"/>
        <w:gridCol w:w="760"/>
        <w:gridCol w:w="760"/>
        <w:gridCol w:w="848"/>
        <w:gridCol w:w="961"/>
        <w:gridCol w:w="961"/>
        <w:gridCol w:w="961"/>
        <w:gridCol w:w="961"/>
        <w:gridCol w:w="964"/>
        <w:gridCol w:w="964"/>
        <w:gridCol w:w="92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7875"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217</w:t>
            </w:r>
            <w:r>
              <w:rPr>
                <w:rFonts w:hint="eastAsia" w:ascii="方正小标宋_GBK" w:eastAsia="方正小标宋_GBK"/>
                <w:sz w:val="24"/>
              </w:rPr>
              <w:t>中共石家庄市鹿泉区委政法委员会</w:t>
            </w:r>
          </w:p>
        </w:tc>
        <w:tc>
          <w:tcPr>
            <w:tcW w:w="6693"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3547"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97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98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760"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r>
              <w:rPr>
                <w:rFonts w:ascii="方正书宋_GBK" w:eastAsia="方正书宋_GBK"/>
                <w:b/>
              </w:rPr>
              <w:t xml:space="preserve">  </w:t>
            </w:r>
            <w:r>
              <w:rPr>
                <w:rFonts w:hint="eastAsia" w:ascii="方正书宋_GBK" w:eastAsia="方正书宋_GBK"/>
                <w:b/>
              </w:rPr>
              <w:t>单位</w:t>
            </w:r>
          </w:p>
        </w:tc>
        <w:tc>
          <w:tcPr>
            <w:tcW w:w="760"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848"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6693" w:type="dxa"/>
            <w:gridSpan w:val="7"/>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48"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109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974" w:type="dxa"/>
            <w:vMerge w:val="continue"/>
            <w:shd w:val="clear" w:color="auto" w:fill="auto"/>
            <w:vAlign w:val="center"/>
          </w:tcPr>
          <w:p>
            <w:pPr>
              <w:spacing w:line="300" w:lineRule="exact"/>
              <w:jc w:val="left"/>
              <w:outlineLvl w:val="0"/>
            </w:pPr>
          </w:p>
        </w:tc>
        <w:tc>
          <w:tcPr>
            <w:tcW w:w="986" w:type="dxa"/>
            <w:vMerge w:val="continue"/>
            <w:shd w:val="clear" w:color="auto" w:fill="auto"/>
            <w:vAlign w:val="center"/>
          </w:tcPr>
          <w:p>
            <w:pPr>
              <w:spacing w:line="300" w:lineRule="exact"/>
              <w:jc w:val="left"/>
              <w:outlineLvl w:val="0"/>
            </w:pPr>
          </w:p>
        </w:tc>
        <w:tc>
          <w:tcPr>
            <w:tcW w:w="760" w:type="dxa"/>
            <w:vMerge w:val="continue"/>
            <w:shd w:val="clear" w:color="auto" w:fill="auto"/>
            <w:vAlign w:val="center"/>
          </w:tcPr>
          <w:p>
            <w:pPr>
              <w:spacing w:line="300" w:lineRule="exact"/>
              <w:jc w:val="left"/>
              <w:outlineLvl w:val="0"/>
            </w:pPr>
          </w:p>
        </w:tc>
        <w:tc>
          <w:tcPr>
            <w:tcW w:w="760" w:type="dxa"/>
            <w:vMerge w:val="continue"/>
            <w:shd w:val="clear" w:color="auto" w:fill="auto"/>
            <w:vAlign w:val="center"/>
          </w:tcPr>
          <w:p>
            <w:pPr>
              <w:spacing w:line="300" w:lineRule="exact"/>
              <w:jc w:val="left"/>
              <w:outlineLvl w:val="0"/>
            </w:pPr>
          </w:p>
        </w:tc>
        <w:tc>
          <w:tcPr>
            <w:tcW w:w="848" w:type="dxa"/>
            <w:vMerge w:val="continue"/>
            <w:shd w:val="clear" w:color="auto" w:fill="auto"/>
            <w:vAlign w:val="center"/>
          </w:tcPr>
          <w:p>
            <w:pPr>
              <w:spacing w:line="300" w:lineRule="exact"/>
              <w:jc w:val="left"/>
              <w:outlineLvl w:val="0"/>
            </w:pPr>
          </w:p>
        </w:tc>
        <w:tc>
          <w:tcPr>
            <w:tcW w:w="96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总计</w:t>
            </w:r>
          </w:p>
        </w:tc>
        <w:tc>
          <w:tcPr>
            <w:tcW w:w="4811" w:type="dxa"/>
            <w:gridSpan w:val="5"/>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当年部门预算安排资金</w:t>
            </w:r>
          </w:p>
        </w:tc>
        <w:tc>
          <w:tcPr>
            <w:tcW w:w="92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48" w:type="dxa"/>
            <w:vMerge w:val="continue"/>
            <w:shd w:val="clear" w:color="auto" w:fill="auto"/>
            <w:vAlign w:val="center"/>
          </w:tcPr>
          <w:p>
            <w:pPr>
              <w:spacing w:line="300" w:lineRule="exact"/>
              <w:jc w:val="left"/>
              <w:outlineLvl w:val="0"/>
            </w:pPr>
          </w:p>
        </w:tc>
        <w:tc>
          <w:tcPr>
            <w:tcW w:w="1099" w:type="dxa"/>
            <w:vMerge w:val="continue"/>
            <w:shd w:val="clear" w:color="auto" w:fill="auto"/>
            <w:vAlign w:val="center"/>
          </w:tcPr>
          <w:p>
            <w:pPr>
              <w:spacing w:line="300" w:lineRule="exact"/>
              <w:jc w:val="left"/>
              <w:outlineLvl w:val="0"/>
            </w:pPr>
          </w:p>
        </w:tc>
        <w:tc>
          <w:tcPr>
            <w:tcW w:w="974" w:type="dxa"/>
            <w:vMerge w:val="continue"/>
            <w:shd w:val="clear" w:color="auto" w:fill="auto"/>
            <w:vAlign w:val="center"/>
          </w:tcPr>
          <w:p>
            <w:pPr>
              <w:spacing w:line="300" w:lineRule="exact"/>
              <w:jc w:val="left"/>
              <w:outlineLvl w:val="0"/>
            </w:pPr>
          </w:p>
        </w:tc>
        <w:tc>
          <w:tcPr>
            <w:tcW w:w="986" w:type="dxa"/>
            <w:vMerge w:val="continue"/>
            <w:shd w:val="clear" w:color="auto" w:fill="auto"/>
            <w:vAlign w:val="center"/>
          </w:tcPr>
          <w:p>
            <w:pPr>
              <w:spacing w:line="300" w:lineRule="exact"/>
              <w:jc w:val="left"/>
              <w:outlineLvl w:val="0"/>
            </w:pPr>
          </w:p>
        </w:tc>
        <w:tc>
          <w:tcPr>
            <w:tcW w:w="760" w:type="dxa"/>
            <w:vMerge w:val="continue"/>
            <w:shd w:val="clear" w:color="auto" w:fill="auto"/>
            <w:vAlign w:val="center"/>
          </w:tcPr>
          <w:p>
            <w:pPr>
              <w:spacing w:line="300" w:lineRule="exact"/>
              <w:jc w:val="left"/>
              <w:outlineLvl w:val="0"/>
            </w:pPr>
          </w:p>
        </w:tc>
        <w:tc>
          <w:tcPr>
            <w:tcW w:w="760" w:type="dxa"/>
            <w:vMerge w:val="continue"/>
            <w:shd w:val="clear" w:color="auto" w:fill="auto"/>
            <w:vAlign w:val="center"/>
          </w:tcPr>
          <w:p>
            <w:pPr>
              <w:spacing w:line="300" w:lineRule="exact"/>
              <w:jc w:val="left"/>
              <w:outlineLvl w:val="0"/>
            </w:pPr>
          </w:p>
        </w:tc>
        <w:tc>
          <w:tcPr>
            <w:tcW w:w="848" w:type="dxa"/>
            <w:vMerge w:val="continue"/>
            <w:shd w:val="clear" w:color="auto" w:fill="auto"/>
            <w:vAlign w:val="center"/>
          </w:tcPr>
          <w:p>
            <w:pPr>
              <w:spacing w:line="300" w:lineRule="exact"/>
              <w:jc w:val="left"/>
              <w:outlineLvl w:val="0"/>
            </w:pPr>
          </w:p>
        </w:tc>
        <w:tc>
          <w:tcPr>
            <w:tcW w:w="961" w:type="dxa"/>
            <w:vMerge w:val="continue"/>
            <w:shd w:val="clear" w:color="auto" w:fill="auto"/>
            <w:vAlign w:val="center"/>
          </w:tcPr>
          <w:p>
            <w:pPr>
              <w:spacing w:line="300" w:lineRule="exact"/>
              <w:jc w:val="left"/>
              <w:outlineLvl w:val="0"/>
            </w:pPr>
          </w:p>
        </w:tc>
        <w:tc>
          <w:tcPr>
            <w:tcW w:w="96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96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96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96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96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其他来源收入</w:t>
            </w:r>
          </w:p>
        </w:tc>
        <w:tc>
          <w:tcPr>
            <w:tcW w:w="921" w:type="dxa"/>
            <w:vMerge w:val="continue"/>
            <w:shd w:val="clear" w:color="auto" w:fill="auto"/>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099" w:type="dxa"/>
            <w:shd w:val="clear" w:color="auto" w:fill="auto"/>
            <w:vAlign w:val="center"/>
          </w:tcPr>
          <w:p>
            <w:pPr>
              <w:spacing w:line="300" w:lineRule="exact"/>
              <w:jc w:val="right"/>
              <w:rPr>
                <w:rFonts w:ascii="方正书宋_GBK" w:eastAsia="方正书宋_GBK"/>
                <w:b/>
              </w:rPr>
            </w:pPr>
          </w:p>
        </w:tc>
        <w:tc>
          <w:tcPr>
            <w:tcW w:w="974" w:type="dxa"/>
            <w:shd w:val="clear" w:color="auto" w:fill="auto"/>
            <w:vAlign w:val="center"/>
          </w:tcPr>
          <w:p>
            <w:pPr>
              <w:spacing w:line="300" w:lineRule="exact"/>
              <w:jc w:val="left"/>
              <w:rPr>
                <w:rFonts w:ascii="方正书宋_GBK" w:eastAsia="方正书宋_GBK"/>
                <w:b/>
              </w:rPr>
            </w:pPr>
          </w:p>
        </w:tc>
        <w:tc>
          <w:tcPr>
            <w:tcW w:w="986"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right"/>
              <w:rPr>
                <w:rFonts w:ascii="方正书宋_GBK" w:eastAsia="方正书宋_GBK"/>
                <w:b/>
              </w:rPr>
            </w:pPr>
          </w:p>
        </w:tc>
        <w:tc>
          <w:tcPr>
            <w:tcW w:w="848" w:type="dxa"/>
            <w:shd w:val="clear" w:color="auto" w:fill="auto"/>
            <w:vAlign w:val="center"/>
          </w:tcPr>
          <w:p>
            <w:pPr>
              <w:spacing w:line="300" w:lineRule="exact"/>
              <w:jc w:val="right"/>
              <w:rPr>
                <w:rFonts w:ascii="方正书宋_GBK" w:eastAsia="方正书宋_GBK"/>
                <w:b/>
              </w:rPr>
            </w:pP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204.41</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204.41</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204.41</w:t>
            </w:r>
          </w:p>
        </w:tc>
        <w:tc>
          <w:tcPr>
            <w:tcW w:w="961"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p>
        </w:tc>
        <w:tc>
          <w:tcPr>
            <w:tcW w:w="921"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jc w:val="center"/>
        </w:trPr>
        <w:tc>
          <w:tcPr>
            <w:tcW w:w="2448" w:type="dxa"/>
            <w:shd w:val="clear" w:color="auto" w:fill="auto"/>
            <w:vAlign w:val="center"/>
          </w:tcPr>
          <w:p>
            <w:pPr>
              <w:spacing w:line="300" w:lineRule="exact"/>
              <w:jc w:val="center"/>
              <w:rPr>
                <w:rFonts w:hint="eastAsia" w:ascii="方正书宋_GBK" w:eastAsia="方正书宋_GBK"/>
                <w:b/>
              </w:rPr>
            </w:pPr>
            <w:r>
              <w:rPr>
                <w:rFonts w:hint="eastAsia" w:ascii="方正书宋_GBK" w:eastAsia="方正书宋_GBK"/>
                <w:b/>
              </w:rPr>
              <w:t>中共石家庄市鹿泉区委政法委员会小计</w:t>
            </w:r>
          </w:p>
        </w:tc>
        <w:tc>
          <w:tcPr>
            <w:tcW w:w="1099" w:type="dxa"/>
            <w:shd w:val="clear" w:color="auto" w:fill="auto"/>
            <w:vAlign w:val="center"/>
          </w:tcPr>
          <w:p>
            <w:pPr>
              <w:spacing w:line="300" w:lineRule="exact"/>
              <w:jc w:val="right"/>
              <w:rPr>
                <w:rFonts w:ascii="方正书宋_GBK" w:eastAsia="方正书宋_GBK"/>
                <w:b/>
              </w:rPr>
            </w:pPr>
          </w:p>
        </w:tc>
        <w:tc>
          <w:tcPr>
            <w:tcW w:w="974" w:type="dxa"/>
            <w:shd w:val="clear" w:color="auto" w:fill="auto"/>
            <w:vAlign w:val="center"/>
          </w:tcPr>
          <w:p>
            <w:pPr>
              <w:spacing w:line="300" w:lineRule="exact"/>
              <w:jc w:val="left"/>
              <w:rPr>
                <w:rFonts w:ascii="方正书宋_GBK" w:eastAsia="方正书宋_GBK"/>
                <w:b/>
              </w:rPr>
            </w:pPr>
          </w:p>
        </w:tc>
        <w:tc>
          <w:tcPr>
            <w:tcW w:w="986"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left"/>
              <w:rPr>
                <w:rFonts w:ascii="方正书宋_GBK" w:eastAsia="方正书宋_GBK"/>
                <w:b/>
              </w:rPr>
            </w:pPr>
          </w:p>
        </w:tc>
        <w:tc>
          <w:tcPr>
            <w:tcW w:w="760" w:type="dxa"/>
            <w:shd w:val="clear" w:color="auto" w:fill="auto"/>
            <w:vAlign w:val="center"/>
          </w:tcPr>
          <w:p>
            <w:pPr>
              <w:spacing w:line="300" w:lineRule="exact"/>
              <w:jc w:val="right"/>
              <w:rPr>
                <w:rFonts w:ascii="方正书宋_GBK" w:eastAsia="方正书宋_GBK"/>
                <w:b/>
              </w:rPr>
            </w:pPr>
          </w:p>
        </w:tc>
        <w:tc>
          <w:tcPr>
            <w:tcW w:w="848" w:type="dxa"/>
            <w:shd w:val="clear" w:color="auto" w:fill="auto"/>
            <w:vAlign w:val="center"/>
          </w:tcPr>
          <w:p>
            <w:pPr>
              <w:spacing w:line="300" w:lineRule="exact"/>
              <w:jc w:val="right"/>
              <w:rPr>
                <w:rFonts w:ascii="方正书宋_GBK" w:eastAsia="方正书宋_GBK"/>
                <w:b/>
              </w:rPr>
            </w:pP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204.41</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204.41</w:t>
            </w:r>
          </w:p>
        </w:tc>
        <w:tc>
          <w:tcPr>
            <w:tcW w:w="961" w:type="dxa"/>
            <w:shd w:val="clear" w:color="auto" w:fill="auto"/>
            <w:vAlign w:val="center"/>
          </w:tcPr>
          <w:p>
            <w:pPr>
              <w:spacing w:line="300" w:lineRule="exact"/>
              <w:jc w:val="right"/>
              <w:rPr>
                <w:rFonts w:ascii="方正书宋_GBK" w:eastAsia="方正书宋_GBK"/>
                <w:b/>
              </w:rPr>
            </w:pPr>
            <w:r>
              <w:rPr>
                <w:rFonts w:ascii="方正书宋_GBK" w:eastAsia="方正书宋_GBK"/>
                <w:b/>
              </w:rPr>
              <w:t>204.41</w:t>
            </w:r>
          </w:p>
        </w:tc>
        <w:tc>
          <w:tcPr>
            <w:tcW w:w="961"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p>
        </w:tc>
        <w:tc>
          <w:tcPr>
            <w:tcW w:w="964" w:type="dxa"/>
            <w:shd w:val="clear" w:color="auto" w:fill="auto"/>
            <w:vAlign w:val="center"/>
          </w:tcPr>
          <w:p>
            <w:pPr>
              <w:spacing w:line="300" w:lineRule="exact"/>
              <w:jc w:val="right"/>
              <w:rPr>
                <w:rFonts w:ascii="方正书宋_GBK" w:eastAsia="方正书宋_GBK"/>
                <w:b/>
              </w:rPr>
            </w:pPr>
          </w:p>
        </w:tc>
        <w:tc>
          <w:tcPr>
            <w:tcW w:w="921"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left"/>
              <w:rPr>
                <w:rFonts w:hint="eastAsia" w:ascii="方正书宋_GBK" w:eastAsia="方正书宋_GBK"/>
              </w:rPr>
            </w:pPr>
            <w:r>
              <w:rPr>
                <w:rFonts w:hint="cs" w:ascii="方正书宋_GBK" w:eastAsia="方正书宋_GBK"/>
              </w:rPr>
              <w:t>“</w:t>
            </w:r>
            <w:r>
              <w:rPr>
                <w:rFonts w:hint="eastAsia" w:ascii="方正书宋_GBK" w:eastAsia="方正书宋_GBK"/>
              </w:rPr>
              <w:t>雪亮工程</w:t>
            </w:r>
            <w:r>
              <w:rPr>
                <w:rFonts w:hint="cs" w:ascii="方正书宋_GBK" w:eastAsia="方正书宋_GBK"/>
              </w:rPr>
              <w:t>”</w:t>
            </w:r>
            <w:r>
              <w:rPr>
                <w:rFonts w:hint="eastAsia" w:ascii="方正书宋_GBK" w:eastAsia="方正书宋_GBK"/>
              </w:rPr>
              <w:t>建设</w:t>
            </w:r>
          </w:p>
        </w:tc>
        <w:tc>
          <w:tcPr>
            <w:tcW w:w="1099" w:type="dxa"/>
            <w:shd w:val="clear" w:color="auto" w:fill="auto"/>
            <w:vAlign w:val="center"/>
          </w:tcPr>
          <w:p>
            <w:pPr>
              <w:spacing w:line="300" w:lineRule="exact"/>
              <w:jc w:val="right"/>
              <w:rPr>
                <w:rFonts w:ascii="方正书宋_GBK" w:eastAsia="方正书宋_GBK"/>
              </w:rPr>
            </w:pPr>
            <w:r>
              <w:rPr>
                <w:rFonts w:ascii="方正书宋_GBK" w:eastAsia="方正书宋_GBK"/>
              </w:rPr>
              <w:t>51.93</w:t>
            </w:r>
          </w:p>
        </w:tc>
        <w:tc>
          <w:tcPr>
            <w:tcW w:w="974"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视频设备</w:t>
            </w:r>
          </w:p>
        </w:tc>
        <w:tc>
          <w:tcPr>
            <w:tcW w:w="986" w:type="dxa"/>
            <w:shd w:val="clear" w:color="auto" w:fill="auto"/>
            <w:vAlign w:val="center"/>
          </w:tcPr>
          <w:p>
            <w:pPr>
              <w:spacing w:line="300" w:lineRule="exact"/>
              <w:jc w:val="left"/>
              <w:rPr>
                <w:rFonts w:ascii="方正书宋_GBK" w:eastAsia="方正书宋_GBK"/>
              </w:rPr>
            </w:pPr>
            <w:r>
              <w:rPr>
                <w:rFonts w:ascii="方正书宋_GBK" w:eastAsia="方正书宋_GBK"/>
              </w:rPr>
              <w:t>A020911</w:t>
            </w:r>
          </w:p>
        </w:tc>
        <w:tc>
          <w:tcPr>
            <w:tcW w:w="760" w:type="dxa"/>
            <w:shd w:val="clear" w:color="auto" w:fill="auto"/>
            <w:vAlign w:val="center"/>
          </w:tcPr>
          <w:p>
            <w:pPr>
              <w:spacing w:line="300" w:lineRule="exact"/>
              <w:jc w:val="left"/>
              <w:rPr>
                <w:rFonts w:ascii="方正书宋_GBK" w:eastAsia="方正书宋_GBK"/>
              </w:rPr>
            </w:pPr>
          </w:p>
        </w:tc>
        <w:tc>
          <w:tcPr>
            <w:tcW w:w="760" w:type="dxa"/>
            <w:shd w:val="clear" w:color="auto" w:fill="auto"/>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pPr>
              <w:spacing w:line="300" w:lineRule="exact"/>
              <w:jc w:val="right"/>
              <w:rPr>
                <w:rFonts w:ascii="方正书宋_GBK" w:eastAsia="方正书宋_GBK"/>
              </w:rPr>
            </w:pPr>
            <w:r>
              <w:rPr>
                <w:rFonts w:ascii="方正书宋_GBK" w:eastAsia="方正书宋_GBK"/>
              </w:rPr>
              <w:t>51.92</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51.29</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51.29</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51.29</w:t>
            </w:r>
          </w:p>
        </w:tc>
        <w:tc>
          <w:tcPr>
            <w:tcW w:w="961"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21" w:type="dxa"/>
            <w:shd w:val="clear" w:color="auto" w:fill="auto"/>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jc w:val="center"/>
        </w:trPr>
        <w:tc>
          <w:tcPr>
            <w:tcW w:w="2448" w:type="dxa"/>
            <w:shd w:val="clear" w:color="auto" w:fill="auto"/>
            <w:vAlign w:val="center"/>
          </w:tcPr>
          <w:p>
            <w:pPr>
              <w:spacing w:line="300" w:lineRule="exact"/>
              <w:jc w:val="left"/>
              <w:rPr>
                <w:rFonts w:hint="cs" w:ascii="方正书宋_GBK" w:eastAsia="方正书宋_GBK"/>
              </w:rPr>
            </w:pPr>
            <w:r>
              <w:rPr>
                <w:rFonts w:hint="eastAsia" w:ascii="方正书宋_GBK" w:eastAsia="方正书宋_GBK"/>
              </w:rPr>
              <w:t>城乡社区网格化服务管理试点</w:t>
            </w:r>
          </w:p>
        </w:tc>
        <w:tc>
          <w:tcPr>
            <w:tcW w:w="1099" w:type="dxa"/>
            <w:shd w:val="clear" w:color="auto" w:fill="auto"/>
            <w:vAlign w:val="center"/>
          </w:tcPr>
          <w:p>
            <w:pPr>
              <w:spacing w:line="300" w:lineRule="exact"/>
              <w:jc w:val="right"/>
              <w:rPr>
                <w:rFonts w:ascii="方正书宋_GBK" w:eastAsia="方正书宋_GBK"/>
              </w:rPr>
            </w:pPr>
            <w:r>
              <w:rPr>
                <w:rFonts w:ascii="方正书宋_GBK" w:eastAsia="方正书宋_GBK"/>
              </w:rPr>
              <w:t>150.00</w:t>
            </w:r>
          </w:p>
        </w:tc>
        <w:tc>
          <w:tcPr>
            <w:tcW w:w="974"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通信设备</w:t>
            </w:r>
          </w:p>
        </w:tc>
        <w:tc>
          <w:tcPr>
            <w:tcW w:w="986" w:type="dxa"/>
            <w:shd w:val="clear" w:color="auto" w:fill="auto"/>
            <w:vAlign w:val="center"/>
          </w:tcPr>
          <w:p>
            <w:pPr>
              <w:spacing w:line="300" w:lineRule="exact"/>
              <w:jc w:val="left"/>
              <w:rPr>
                <w:rFonts w:ascii="方正书宋_GBK" w:eastAsia="方正书宋_GBK"/>
              </w:rPr>
            </w:pPr>
            <w:r>
              <w:rPr>
                <w:rFonts w:ascii="方正书宋_GBK" w:eastAsia="方正书宋_GBK"/>
              </w:rPr>
              <w:t>A0208</w:t>
            </w:r>
          </w:p>
        </w:tc>
        <w:tc>
          <w:tcPr>
            <w:tcW w:w="760" w:type="dxa"/>
            <w:shd w:val="clear" w:color="auto" w:fill="auto"/>
            <w:vAlign w:val="center"/>
          </w:tcPr>
          <w:p>
            <w:pPr>
              <w:spacing w:line="300" w:lineRule="exact"/>
              <w:jc w:val="left"/>
              <w:rPr>
                <w:rFonts w:ascii="方正书宋_GBK" w:eastAsia="方正书宋_GBK"/>
              </w:rPr>
            </w:pPr>
          </w:p>
        </w:tc>
        <w:tc>
          <w:tcPr>
            <w:tcW w:w="760" w:type="dxa"/>
            <w:shd w:val="clear" w:color="auto" w:fill="auto"/>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pPr>
              <w:spacing w:line="300" w:lineRule="exact"/>
              <w:jc w:val="right"/>
              <w:rPr>
                <w:rFonts w:ascii="方正书宋_GBK" w:eastAsia="方正书宋_GBK"/>
              </w:rPr>
            </w:pPr>
            <w:r>
              <w:rPr>
                <w:rFonts w:ascii="方正书宋_GBK" w:eastAsia="方正书宋_GBK"/>
              </w:rPr>
              <w:t>150.00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150.00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150.00</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150.00</w:t>
            </w:r>
          </w:p>
        </w:tc>
        <w:tc>
          <w:tcPr>
            <w:tcW w:w="961"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21" w:type="dxa"/>
            <w:shd w:val="clear" w:color="auto" w:fill="auto"/>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农村（社区）综治视联网建设</w:t>
            </w:r>
          </w:p>
        </w:tc>
        <w:tc>
          <w:tcPr>
            <w:tcW w:w="1099" w:type="dxa"/>
            <w:shd w:val="clear" w:color="auto" w:fill="auto"/>
            <w:vAlign w:val="center"/>
          </w:tcPr>
          <w:p>
            <w:pPr>
              <w:spacing w:line="300" w:lineRule="exact"/>
              <w:jc w:val="right"/>
              <w:rPr>
                <w:rFonts w:ascii="方正书宋_GBK" w:eastAsia="方正书宋_GBK"/>
              </w:rPr>
            </w:pPr>
            <w:r>
              <w:rPr>
                <w:rFonts w:ascii="方正书宋_GBK" w:eastAsia="方正书宋_GBK"/>
              </w:rPr>
              <w:t>3.13</w:t>
            </w:r>
          </w:p>
        </w:tc>
        <w:tc>
          <w:tcPr>
            <w:tcW w:w="974"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计算机网络设备</w:t>
            </w:r>
          </w:p>
        </w:tc>
        <w:tc>
          <w:tcPr>
            <w:tcW w:w="986" w:type="dxa"/>
            <w:shd w:val="clear" w:color="auto" w:fill="auto"/>
            <w:vAlign w:val="center"/>
          </w:tcPr>
          <w:p>
            <w:pPr>
              <w:spacing w:line="300" w:lineRule="exact"/>
              <w:jc w:val="left"/>
              <w:rPr>
                <w:rFonts w:ascii="方正书宋_GBK" w:eastAsia="方正书宋_GBK"/>
              </w:rPr>
            </w:pPr>
            <w:r>
              <w:rPr>
                <w:rFonts w:ascii="方正书宋_GBK" w:eastAsia="方正书宋_GBK"/>
              </w:rPr>
              <w:t>A020102</w:t>
            </w:r>
          </w:p>
        </w:tc>
        <w:tc>
          <w:tcPr>
            <w:tcW w:w="760" w:type="dxa"/>
            <w:shd w:val="clear" w:color="auto" w:fill="auto"/>
            <w:vAlign w:val="center"/>
          </w:tcPr>
          <w:p>
            <w:pPr>
              <w:spacing w:line="300" w:lineRule="exact"/>
              <w:jc w:val="left"/>
              <w:rPr>
                <w:rFonts w:ascii="方正书宋_GBK" w:eastAsia="方正书宋_GBK"/>
              </w:rPr>
            </w:pPr>
          </w:p>
        </w:tc>
        <w:tc>
          <w:tcPr>
            <w:tcW w:w="760" w:type="dxa"/>
            <w:shd w:val="clear" w:color="auto" w:fill="auto"/>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vAlign w:val="center"/>
          </w:tcPr>
          <w:p>
            <w:pPr>
              <w:spacing w:line="300" w:lineRule="exact"/>
              <w:jc w:val="right"/>
              <w:rPr>
                <w:rFonts w:ascii="方正书宋_GBK" w:eastAsia="方正书宋_GBK"/>
              </w:rPr>
            </w:pPr>
            <w:r>
              <w:rPr>
                <w:rFonts w:ascii="方正书宋_GBK" w:eastAsia="方正书宋_GBK"/>
              </w:rPr>
              <w:t>3.12</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3.12</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3.12</w:t>
            </w:r>
          </w:p>
        </w:tc>
        <w:tc>
          <w:tcPr>
            <w:tcW w:w="961" w:type="dxa"/>
            <w:shd w:val="clear" w:color="auto" w:fill="auto"/>
            <w:vAlign w:val="center"/>
          </w:tcPr>
          <w:p>
            <w:pPr>
              <w:spacing w:line="300" w:lineRule="exact"/>
              <w:jc w:val="right"/>
              <w:rPr>
                <w:rFonts w:ascii="方正书宋_GBK" w:eastAsia="方正书宋_GBK"/>
              </w:rPr>
            </w:pPr>
            <w:r>
              <w:rPr>
                <w:rFonts w:ascii="方正书宋_GBK" w:eastAsia="方正书宋_GBK"/>
              </w:rPr>
              <w:t>3.12</w:t>
            </w:r>
          </w:p>
        </w:tc>
        <w:tc>
          <w:tcPr>
            <w:tcW w:w="961"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64" w:type="dxa"/>
            <w:shd w:val="clear" w:color="auto" w:fill="auto"/>
            <w:vAlign w:val="center"/>
          </w:tcPr>
          <w:p>
            <w:pPr>
              <w:spacing w:line="300" w:lineRule="exact"/>
              <w:jc w:val="right"/>
              <w:rPr>
                <w:rFonts w:ascii="方正书宋_GBK" w:eastAsia="方正书宋_GBK"/>
              </w:rPr>
            </w:pPr>
          </w:p>
        </w:tc>
        <w:tc>
          <w:tcPr>
            <w:tcW w:w="921" w:type="dxa"/>
            <w:shd w:val="clear" w:color="auto" w:fill="auto"/>
            <w:vAlign w:val="center"/>
          </w:tcPr>
          <w:p>
            <w:pPr>
              <w:spacing w:line="300" w:lineRule="exact"/>
              <w:jc w:val="right"/>
              <w:rPr>
                <w:rFonts w:ascii="方正书宋_GBK" w:eastAsia="方正书宋_GBK"/>
              </w:rPr>
            </w:pPr>
          </w:p>
        </w:tc>
      </w:tr>
    </w:tbl>
    <w:p>
      <w:pPr>
        <w:outlineLvl w:val="0"/>
        <w:rPr>
          <w:rFonts w:hint="eastAsia" w:ascii="仿宋" w:hAnsi="仿宋" w:eastAsia="仿宋" w:cs="仿宋"/>
          <w:sz w:val="32"/>
          <w:szCs w:val="32"/>
        </w:rPr>
      </w:pPr>
    </w:p>
    <w:bookmarkEnd w:id="2"/>
    <w:p>
      <w:pPr>
        <w:numPr>
          <w:ilvl w:val="0"/>
          <w:numId w:val="2"/>
        </w:numPr>
        <w:autoSpaceDE w:val="0"/>
        <w:autoSpaceDN w:val="0"/>
        <w:adjustRightInd w:val="0"/>
        <w:ind w:firstLine="640" w:firstLineChars="200"/>
        <w:jc w:val="left"/>
        <w:rPr>
          <w:rFonts w:hint="eastAsia" w:ascii="黑体" w:hAnsi="黑体" w:eastAsia="黑体" w:cs="Times New Roman"/>
          <w:sz w:val="32"/>
          <w:szCs w:val="32"/>
        </w:rPr>
      </w:pPr>
      <w:r>
        <w:rPr>
          <w:rFonts w:hint="eastAsia" w:ascii="黑体" w:hAnsi="黑体" w:eastAsia="黑体" w:cs="Times New Roman"/>
          <w:sz w:val="32"/>
          <w:szCs w:val="32"/>
        </w:rPr>
        <w:t>国有资产信息</w:t>
      </w:r>
    </w:p>
    <w:p>
      <w:pPr>
        <w:numPr>
          <w:ilvl w:val="0"/>
          <w:numId w:val="0"/>
        </w:numPr>
        <w:autoSpaceDE w:val="0"/>
        <w:autoSpaceDN w:val="0"/>
        <w:adjustRightInd w:val="0"/>
        <w:jc w:val="left"/>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 xml:space="preserve">    2018年区委政法委与区公安局财务分离，固定资产未划拨我委。</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1、一般公共预算拨款收入：指省级财政当年拨付的资金。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rPr>
          <w:rFonts w:hint="eastAsia"/>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8980557"/>
    <w:multiLevelType w:val="singleLevel"/>
    <w:tmpl w:val="E8980557"/>
    <w:lvl w:ilvl="0" w:tentative="0">
      <w:start w:val="7"/>
      <w:numFmt w:val="chineseCounting"/>
      <w:suff w:val="nothing"/>
      <w:lvlText w:val="%1、"/>
      <w:lvlJc w:val="left"/>
      <w:rPr>
        <w:rFonts w:hint="eastAsia"/>
      </w:rPr>
    </w:lvl>
  </w:abstractNum>
  <w:abstractNum w:abstractNumId="1">
    <w:nsid w:val="294EF7DC"/>
    <w:multiLevelType w:val="singleLevel"/>
    <w:tmpl w:val="294EF7DC"/>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95A3985"/>
    <w:rsid w:val="0F916D00"/>
    <w:rsid w:val="115B7551"/>
    <w:rsid w:val="137C551E"/>
    <w:rsid w:val="14494E13"/>
    <w:rsid w:val="206E34B4"/>
    <w:rsid w:val="24390E99"/>
    <w:rsid w:val="25633AB8"/>
    <w:rsid w:val="36801CC7"/>
    <w:rsid w:val="51413AD5"/>
    <w:rsid w:val="58F22DF7"/>
    <w:rsid w:val="6CAC4BE6"/>
    <w:rsid w:val="737E6536"/>
    <w:rsid w:val="793B1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uiPriority w:val="99"/>
    <w:rPr>
      <w:sz w:val="18"/>
      <w:szCs w:val="18"/>
    </w:rPr>
  </w:style>
  <w:style w:type="paragraph" w:styleId="3">
    <w:name w:val="footer"/>
    <w:basedOn w:val="1"/>
    <w:link w:val="14"/>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3"/>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9">
    <w:name w:val="page number"/>
    <w:unhideWhenUsed/>
    <w:uiPriority w:val="99"/>
  </w:style>
  <w:style w:type="character" w:styleId="10">
    <w:name w:val="Hyperlink"/>
    <w:unhideWhenUsed/>
    <w:qFormat/>
    <w:uiPriority w:val="99"/>
    <w:rPr>
      <w:color w:val="0000FF"/>
      <w:u w:val="single"/>
    </w:rPr>
  </w:style>
  <w:style w:type="character" w:styleId="11">
    <w:name w:val="footnote reference"/>
    <w:unhideWhenUsed/>
    <w:uiPriority w:val="99"/>
    <w:rPr>
      <w:vertAlign w:val="superscript"/>
    </w:rPr>
  </w:style>
  <w:style w:type="character" w:customStyle="1" w:styleId="13">
    <w:name w:val="页眉 Char"/>
    <w:basedOn w:val="8"/>
    <w:link w:val="4"/>
    <w:uiPriority w:val="99"/>
    <w:rPr>
      <w:rFonts w:ascii="Times New Roman" w:hAnsi="Times New Roman" w:eastAsia="宋体" w:cs="Times New Roman"/>
      <w:sz w:val="18"/>
      <w:szCs w:val="18"/>
    </w:rPr>
  </w:style>
  <w:style w:type="character" w:customStyle="1" w:styleId="14">
    <w:name w:val="页脚 Char"/>
    <w:basedOn w:val="8"/>
    <w:link w:val="3"/>
    <w:uiPriority w:val="99"/>
    <w:rPr>
      <w:rFonts w:ascii="Times New Roman" w:hAnsi="Times New Roman" w:eastAsia="宋体" w:cs="Times New Roman"/>
      <w:sz w:val="18"/>
      <w:szCs w:val="18"/>
    </w:rPr>
  </w:style>
  <w:style w:type="character" w:customStyle="1" w:styleId="15">
    <w:name w:val="批注框文本 Char"/>
    <w:basedOn w:val="8"/>
    <w:link w:val="2"/>
    <w:semiHidden/>
    <w:uiPriority w:val="99"/>
    <w:rPr>
      <w:sz w:val="18"/>
      <w:szCs w:val="18"/>
    </w:rPr>
  </w:style>
  <w:style w:type="paragraph" w:customStyle="1" w:styleId="16">
    <w:name w:val="Defaul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7">
    <w:name w:val="脚注文本 Char"/>
    <w:basedOn w:val="8"/>
    <w:link w:val="6"/>
    <w:semiHidden/>
    <w:qFormat/>
    <w:uiPriority w:val="99"/>
    <w:rPr>
      <w:rFonts w:ascii="Calibri" w:hAnsi="Calibri" w:eastAsia="宋体" w:cs="Times New Roman"/>
      <w:sz w:val="18"/>
      <w:szCs w:val="18"/>
    </w:rPr>
  </w:style>
  <w:style w:type="paragraph" w:customStyle="1" w:styleId="18">
    <w:name w:val="Standard"/>
    <w:unhideWhenUsed/>
    <w:uiPriority w:val="99"/>
    <w:pPr>
      <w:autoSpaceDE w:val="0"/>
      <w:autoSpaceDN w:val="0"/>
      <w:adjustRightInd w:val="0"/>
      <w:spacing w:beforeLines="0" w:afterLines="0"/>
    </w:pPr>
    <w:rPr>
      <w:rFonts w:hint="default" w:ascii="Times New Roman" w:hAnsi="Times New Roman" w:eastAsia="Times New Roman" w:cstheme="minorBidi"/>
      <w:sz w:val="20"/>
    </w:rPr>
  </w:style>
  <w:style w:type="paragraph" w:customStyle="1" w:styleId="19">
    <w:name w:val="[Normal]"/>
    <w:unhideWhenUsed/>
    <w:qFormat/>
    <w:uiPriority w:val="99"/>
    <w:pPr>
      <w:widowControl w:val="0"/>
      <w:autoSpaceDE w:val="0"/>
      <w:autoSpaceDN w:val="0"/>
      <w:adjustRightInd w:val="0"/>
      <w:spacing w:beforeLines="0" w:afterLines="0"/>
    </w:pPr>
    <w:rPr>
      <w:rFonts w:hint="eastAsia" w:ascii="宋体" w:hAnsi="宋体" w:eastAsia="宋体" w:cstheme="minorBidi"/>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ScaleCrop>false</ScaleCrop>
  <LinksUpToDate>false</LinksUpToDate>
  <CharactersWithSpaces>20505</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2019-03-04T06:48:41Z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