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石家庄市鹿泉区黄壁庄镇人民政府</w:t>
      </w:r>
    </w:p>
    <w:p>
      <w:pPr>
        <w:ind w:firstLine="880" w:firstLineChars="200"/>
        <w:jc w:val="center"/>
        <w:rPr>
          <w:rFonts w:hint="eastAsia" w:ascii="仿宋" w:hAnsi="仿宋" w:eastAsia="仿宋" w:cs="仿宋"/>
          <w:sz w:val="44"/>
          <w:szCs w:val="44"/>
        </w:rPr>
      </w:pPr>
      <w:r>
        <w:rPr>
          <w:rFonts w:hint="eastAsia" w:ascii="仿宋" w:hAnsi="仿宋" w:eastAsia="仿宋" w:cs="仿宋"/>
          <w:sz w:val="44"/>
          <w:szCs w:val="44"/>
        </w:rPr>
        <w:t>201</w:t>
      </w:r>
      <w:r>
        <w:rPr>
          <w:rFonts w:hint="eastAsia" w:ascii="仿宋" w:hAnsi="仿宋" w:eastAsia="仿宋" w:cs="仿宋"/>
          <w:sz w:val="44"/>
          <w:szCs w:val="44"/>
        </w:rPr>
        <w:t>9</w:t>
      </w:r>
      <w:r>
        <w:rPr>
          <w:rFonts w:hint="eastAsia" w:ascii="仿宋" w:hAnsi="仿宋" w:eastAsia="仿宋" w:cs="仿宋"/>
          <w:sz w:val="44"/>
          <w:szCs w:val="44"/>
        </w:rPr>
        <w:t>年部门预算信息公开</w:t>
      </w:r>
      <w:r>
        <w:rPr>
          <w:rFonts w:hint="eastAsia" w:ascii="仿宋" w:hAnsi="仿宋" w:eastAsia="仿宋" w:cs="仿宋"/>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b w:val="0"/>
          <w:bCs w:val="0"/>
          <w:sz w:val="32"/>
          <w:szCs w:val="32"/>
          <w:lang w:eastAsia="zh-CN"/>
        </w:rPr>
        <w:t>石家庄市鹿泉区黄壁庄镇人民政府</w:t>
      </w:r>
      <w:r>
        <w:rPr>
          <w:rFonts w:hint="eastAsia" w:ascii="仿宋" w:hAnsi="仿宋" w:eastAsia="仿宋" w:cs="仿宋"/>
          <w:sz w:val="32"/>
          <w:szCs w:val="32"/>
        </w:rPr>
        <w:t>2019年部门预算公开如下：</w:t>
      </w:r>
    </w:p>
    <w:p>
      <w:pPr>
        <w:pStyle w:val="18"/>
        <w:widowControl/>
        <w:spacing w:line="600" w:lineRule="exact"/>
        <w:ind w:firstLine="630" w:firstLineChars="196"/>
        <w:rPr>
          <w:rFonts w:hint="eastAsia" w:ascii="仿宋" w:hAnsi="仿宋" w:eastAsia="仿宋" w:cs="仿宋"/>
          <w:b/>
          <w:sz w:val="32"/>
          <w:szCs w:val="32"/>
        </w:rPr>
      </w:pPr>
      <w:r>
        <w:rPr>
          <w:rFonts w:hint="eastAsia" w:ascii="仿宋" w:hAnsi="仿宋" w:eastAsia="仿宋" w:cs="仿宋"/>
          <w:b/>
          <w:sz w:val="32"/>
          <w:szCs w:val="32"/>
        </w:rPr>
        <w:t>一、部门职责、机构设置情况说明</w:t>
      </w:r>
    </w:p>
    <w:p>
      <w:pPr>
        <w:widowControl/>
        <w:spacing w:line="600" w:lineRule="exact"/>
        <w:ind w:firstLine="630" w:firstLineChars="196"/>
        <w:jc w:val="left"/>
        <w:rPr>
          <w:rFonts w:hint="eastAsia" w:ascii="仿宋" w:hAnsi="仿宋" w:eastAsia="仿宋" w:cs="仿宋"/>
          <w:b/>
          <w:color w:val="000000"/>
          <w:sz w:val="32"/>
          <w:szCs w:val="32"/>
        </w:rPr>
      </w:pPr>
      <w:r>
        <w:rPr>
          <w:rFonts w:hint="eastAsia" w:ascii="仿宋" w:hAnsi="仿宋" w:eastAsia="仿宋" w:cs="仿宋"/>
          <w:b/>
          <w:kern w:val="0"/>
          <w:sz w:val="32"/>
          <w:szCs w:val="32"/>
        </w:rPr>
        <w:t>部门职责：</w:t>
      </w:r>
      <w:r>
        <w:rPr>
          <w:rFonts w:hint="eastAsia" w:ascii="仿宋" w:hAnsi="仿宋" w:eastAsia="仿宋" w:cs="仿宋"/>
          <w:b/>
          <w:color w:val="000000"/>
          <w:sz w:val="32"/>
          <w:szCs w:val="32"/>
        </w:rPr>
        <w:t xml:space="preserve"> </w:t>
      </w:r>
    </w:p>
    <w:p>
      <w:pPr>
        <w:widowControl/>
        <w:spacing w:line="600" w:lineRule="exact"/>
        <w:ind w:firstLine="630"/>
        <w:jc w:val="left"/>
        <w:rPr>
          <w:rFonts w:hint="eastAsia" w:ascii="仿宋" w:hAnsi="仿宋" w:eastAsia="仿宋" w:cs="仿宋"/>
          <w:kern w:val="0"/>
          <w:sz w:val="32"/>
          <w:szCs w:val="32"/>
        </w:rPr>
      </w:pPr>
      <w:r>
        <w:rPr>
          <w:rFonts w:hint="eastAsia" w:ascii="仿宋" w:hAnsi="仿宋" w:eastAsia="仿宋" w:cs="仿宋"/>
          <w:color w:val="000000"/>
          <w:sz w:val="32"/>
          <w:szCs w:val="32"/>
        </w:rPr>
        <w:t>1</w:t>
      </w:r>
      <w:r>
        <w:rPr>
          <w:rFonts w:hint="eastAsia" w:ascii="仿宋" w:hAnsi="仿宋" w:eastAsia="仿宋" w:cs="仿宋"/>
          <w:kern w:val="0"/>
          <w:sz w:val="32"/>
          <w:szCs w:val="32"/>
        </w:rPr>
        <w:t>、</w:t>
      </w:r>
      <w:r>
        <w:rPr>
          <w:rFonts w:hint="eastAsia" w:ascii="仿宋" w:hAnsi="仿宋" w:eastAsia="仿宋" w:cs="仿宋"/>
          <w:b/>
          <w:kern w:val="0"/>
          <w:sz w:val="32"/>
          <w:szCs w:val="32"/>
        </w:rPr>
        <w:t>机关事务管理</w:t>
      </w:r>
      <w:r>
        <w:rPr>
          <w:rFonts w:hint="eastAsia" w:ascii="仿宋" w:hAnsi="仿宋" w:eastAsia="仿宋" w:cs="仿宋"/>
          <w:kern w:val="0"/>
          <w:sz w:val="32"/>
          <w:szCs w:val="32"/>
        </w:rPr>
        <w:t>。负责乡镇党委、政府各项工作的督导催办，处理机关日常事务，搞好文秘、档案管理、政务公开和机关后勤保障工作；负责相关党群单位的工作；抓好农村基层组织建设和民主政治建设。负责制定乡镇财政计划和经济发展规划；为招商引资、发展民营企业和第三产业提供服务；做好乡镇统计、审计工作；　负责社会治安综合治理和司法工作；做好宗教工作，打击邪教；调处矛盾纠纷；做好群众来信来访、社会稳定等工作。负责精神文明和新农村建设，以及与各部门社会事务工作的指导服务和协调。</w:t>
      </w:r>
    </w:p>
    <w:p>
      <w:pPr>
        <w:widowControl/>
        <w:spacing w:line="600" w:lineRule="exact"/>
        <w:ind w:firstLine="630"/>
        <w:jc w:val="left"/>
        <w:rPr>
          <w:rFonts w:hint="eastAsia" w:ascii="仿宋" w:hAnsi="仿宋" w:eastAsia="仿宋" w:cs="仿宋"/>
          <w:b/>
          <w:kern w:val="0"/>
          <w:sz w:val="32"/>
          <w:szCs w:val="32"/>
        </w:rPr>
      </w:pPr>
      <w:r>
        <w:rPr>
          <w:rFonts w:hint="eastAsia" w:ascii="仿宋" w:hAnsi="仿宋" w:eastAsia="仿宋" w:cs="仿宋"/>
          <w:b/>
          <w:kern w:val="0"/>
          <w:sz w:val="32"/>
          <w:szCs w:val="32"/>
        </w:rPr>
        <w:t>2、农业综合服务。</w:t>
      </w:r>
      <w:r>
        <w:rPr>
          <w:rFonts w:hint="eastAsia" w:ascii="仿宋" w:hAnsi="仿宋" w:eastAsia="仿宋" w:cs="仿宋"/>
          <w:kern w:val="0"/>
          <w:sz w:val="32"/>
          <w:szCs w:val="32"/>
        </w:rPr>
        <w:t>负责配合农口部门（农、林、牧、水）做好农业技术服务和技术推广工作，动物防疫工作；加强农田水利基本建设，增强农业抗御自然灾害的能力。做好农村一事一议项目管理。</w:t>
      </w:r>
    </w:p>
    <w:p>
      <w:pPr>
        <w:widowControl/>
        <w:spacing w:line="600" w:lineRule="exact"/>
        <w:ind w:firstLine="630"/>
        <w:jc w:val="left"/>
        <w:rPr>
          <w:rFonts w:hint="eastAsia" w:ascii="仿宋" w:hAnsi="仿宋" w:eastAsia="仿宋" w:cs="仿宋"/>
          <w:kern w:val="0"/>
          <w:sz w:val="32"/>
          <w:szCs w:val="32"/>
        </w:rPr>
      </w:pPr>
      <w:r>
        <w:rPr>
          <w:rFonts w:hint="eastAsia" w:ascii="仿宋" w:hAnsi="仿宋" w:eastAsia="仿宋" w:cs="仿宋"/>
          <w:b/>
          <w:kern w:val="0"/>
          <w:sz w:val="32"/>
          <w:szCs w:val="32"/>
        </w:rPr>
        <w:t>3、卫生计生服务</w:t>
      </w:r>
      <w:r>
        <w:rPr>
          <w:rFonts w:hint="eastAsia" w:ascii="仿宋" w:hAnsi="仿宋" w:eastAsia="仿宋" w:cs="仿宋"/>
          <w:kern w:val="0"/>
          <w:sz w:val="32"/>
          <w:szCs w:val="32"/>
        </w:rPr>
        <w:t>。配合食品药品监督管理的协调、督导，做好新型农村合作医疗等卫生方面工作，负责计划生育技术服务及人口生育管理，负责育龄妇女普查、妇女病防治、四术及协会等项工作。</w:t>
      </w:r>
    </w:p>
    <w:p>
      <w:pPr>
        <w:widowControl/>
        <w:spacing w:line="600" w:lineRule="exact"/>
        <w:ind w:firstLine="630"/>
        <w:jc w:val="left"/>
        <w:rPr>
          <w:rFonts w:hint="eastAsia" w:ascii="仿宋" w:hAnsi="仿宋" w:eastAsia="仿宋" w:cs="仿宋"/>
          <w:sz w:val="44"/>
          <w:szCs w:val="44"/>
        </w:rPr>
      </w:pPr>
      <w:r>
        <w:rPr>
          <w:rFonts w:hint="eastAsia" w:ascii="仿宋" w:hAnsi="仿宋" w:eastAsia="仿宋" w:cs="仿宋"/>
          <w:b/>
          <w:kern w:val="0"/>
          <w:sz w:val="32"/>
          <w:szCs w:val="32"/>
        </w:rPr>
        <w:t>4、文化综治服务。</w:t>
      </w:r>
      <w:r>
        <w:rPr>
          <w:rFonts w:hint="eastAsia" w:ascii="仿宋" w:hAnsi="仿宋" w:eastAsia="仿宋" w:cs="仿宋"/>
          <w:kern w:val="0"/>
          <w:sz w:val="32"/>
          <w:szCs w:val="32"/>
        </w:rPr>
        <w:t>负责群众文化娱乐、体育活动、广播电视村村通等工作。</w:t>
      </w:r>
    </w:p>
    <w:p>
      <w:pPr>
        <w:pStyle w:val="19"/>
        <w:spacing w:line="600" w:lineRule="exact"/>
        <w:ind w:firstLine="643" w:firstLineChars="200"/>
        <w:jc w:val="both"/>
        <w:rPr>
          <w:rFonts w:hint="eastAsia" w:ascii="仿宋" w:hAnsi="仿宋" w:eastAsia="仿宋" w:cs="仿宋"/>
          <w:sz w:val="32"/>
          <w:szCs w:val="32"/>
          <w:lang w:eastAsia="zh-CN"/>
        </w:rPr>
      </w:pPr>
      <w:r>
        <w:rPr>
          <w:rFonts w:hint="eastAsia" w:ascii="仿宋" w:hAnsi="仿宋" w:eastAsia="仿宋" w:cs="仿宋"/>
          <w:b/>
          <w:sz w:val="32"/>
          <w:szCs w:val="32"/>
          <w:lang w:eastAsia="zh-CN"/>
        </w:rPr>
        <w:t>5、社会保障服务。</w:t>
      </w:r>
      <w:r>
        <w:rPr>
          <w:rFonts w:hint="eastAsia" w:ascii="仿宋" w:hAnsi="仿宋" w:eastAsia="仿宋" w:cs="仿宋"/>
          <w:sz w:val="32"/>
          <w:szCs w:val="32"/>
          <w:lang w:eastAsia="zh-CN"/>
        </w:rPr>
        <w:t>配合劳动保障部门做好劳动法的宣传贯彻、劳动就业、社会保障等工作。配合安全生产监督管理部门做好安全生产监督管理等工作。</w:t>
      </w:r>
    </w:p>
    <w:p>
      <w:pPr>
        <w:pStyle w:val="19"/>
        <w:spacing w:line="600" w:lineRule="exact"/>
        <w:ind w:firstLine="630" w:firstLineChars="196"/>
        <w:jc w:val="both"/>
        <w:rPr>
          <w:rFonts w:hint="eastAsia" w:ascii="仿宋" w:hAnsi="仿宋" w:eastAsia="仿宋" w:cs="仿宋"/>
          <w:b/>
          <w:color w:val="000000"/>
          <w:sz w:val="32"/>
          <w:szCs w:val="32"/>
          <w:lang w:eastAsia="zh-CN"/>
        </w:rPr>
      </w:pPr>
      <w:r>
        <w:rPr>
          <w:rFonts w:hint="eastAsia" w:ascii="仿宋" w:hAnsi="仿宋" w:eastAsia="仿宋" w:cs="仿宋"/>
          <w:b/>
          <w:sz w:val="32"/>
          <w:szCs w:val="32"/>
          <w:lang w:eastAsia="zh-CN"/>
        </w:rPr>
        <w:t>机构设置情况</w:t>
      </w:r>
    </w:p>
    <w:p>
      <w:pPr>
        <w:spacing w:line="600" w:lineRule="exact"/>
        <w:rPr>
          <w:rFonts w:hint="eastAsia" w:ascii="仿宋" w:hAnsi="仿宋" w:eastAsia="仿宋" w:cs="仿宋"/>
          <w:kern w:val="0"/>
          <w:sz w:val="32"/>
          <w:szCs w:val="32"/>
        </w:rPr>
      </w:pPr>
      <w:r>
        <w:rPr>
          <w:rFonts w:hint="eastAsia" w:ascii="仿宋" w:hAnsi="仿宋" w:eastAsia="仿宋" w:cs="仿宋"/>
          <w:kern w:val="0"/>
          <w:sz w:val="32"/>
          <w:szCs w:val="32"/>
        </w:rPr>
        <w:t xml:space="preserve">             </w:t>
      </w:r>
    </w:p>
    <w:tbl>
      <w:tblPr>
        <w:tblStyle w:val="8"/>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2"/>
        <w:gridCol w:w="2492"/>
        <w:gridCol w:w="2492"/>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92" w:type="dxa"/>
            <w:noWrap w:val="0"/>
            <w:vAlign w:val="top"/>
          </w:tcPr>
          <w:p>
            <w:pPr>
              <w:jc w:val="center"/>
              <w:rPr>
                <w:rFonts w:hint="eastAsia" w:ascii="仿宋" w:hAnsi="仿宋" w:eastAsia="仿宋" w:cs="仿宋"/>
                <w:b/>
                <w:kern w:val="0"/>
                <w:sz w:val="32"/>
                <w:szCs w:val="32"/>
              </w:rPr>
            </w:pPr>
            <w:r>
              <w:rPr>
                <w:rFonts w:hint="eastAsia" w:ascii="仿宋" w:hAnsi="仿宋" w:eastAsia="仿宋" w:cs="仿宋"/>
                <w:b/>
                <w:kern w:val="0"/>
                <w:sz w:val="32"/>
                <w:szCs w:val="32"/>
              </w:rPr>
              <w:t>单位名称</w:t>
            </w:r>
          </w:p>
        </w:tc>
        <w:tc>
          <w:tcPr>
            <w:tcW w:w="2492" w:type="dxa"/>
            <w:noWrap w:val="0"/>
            <w:vAlign w:val="top"/>
          </w:tcPr>
          <w:p>
            <w:pPr>
              <w:jc w:val="center"/>
              <w:rPr>
                <w:rFonts w:hint="eastAsia" w:ascii="仿宋" w:hAnsi="仿宋" w:eastAsia="仿宋" w:cs="仿宋"/>
                <w:b/>
                <w:kern w:val="0"/>
                <w:sz w:val="32"/>
                <w:szCs w:val="32"/>
              </w:rPr>
            </w:pPr>
            <w:r>
              <w:rPr>
                <w:rFonts w:hint="eastAsia" w:ascii="仿宋" w:hAnsi="仿宋" w:eastAsia="仿宋" w:cs="仿宋"/>
                <w:b/>
                <w:kern w:val="0"/>
                <w:sz w:val="32"/>
                <w:szCs w:val="32"/>
              </w:rPr>
              <w:t>单位性质</w:t>
            </w:r>
          </w:p>
        </w:tc>
        <w:tc>
          <w:tcPr>
            <w:tcW w:w="2492" w:type="dxa"/>
            <w:noWrap w:val="0"/>
            <w:vAlign w:val="top"/>
          </w:tcPr>
          <w:p>
            <w:pPr>
              <w:jc w:val="center"/>
              <w:rPr>
                <w:rFonts w:hint="eastAsia" w:ascii="仿宋" w:hAnsi="仿宋" w:eastAsia="仿宋" w:cs="仿宋"/>
                <w:b/>
                <w:kern w:val="0"/>
                <w:sz w:val="32"/>
                <w:szCs w:val="32"/>
              </w:rPr>
            </w:pPr>
            <w:r>
              <w:rPr>
                <w:rFonts w:hint="eastAsia" w:ascii="仿宋" w:hAnsi="仿宋" w:eastAsia="仿宋" w:cs="仿宋"/>
                <w:b/>
                <w:kern w:val="0"/>
                <w:sz w:val="32"/>
                <w:szCs w:val="32"/>
              </w:rPr>
              <w:t>单位规格</w:t>
            </w:r>
          </w:p>
        </w:tc>
        <w:tc>
          <w:tcPr>
            <w:tcW w:w="2492" w:type="dxa"/>
            <w:noWrap w:val="0"/>
            <w:vAlign w:val="top"/>
          </w:tcPr>
          <w:p>
            <w:pPr>
              <w:jc w:val="center"/>
              <w:rPr>
                <w:rFonts w:hint="eastAsia" w:ascii="仿宋" w:hAnsi="仿宋" w:eastAsia="仿宋" w:cs="仿宋"/>
                <w:b/>
                <w:kern w:val="0"/>
                <w:sz w:val="32"/>
                <w:szCs w:val="32"/>
              </w:rPr>
            </w:pPr>
            <w:r>
              <w:rPr>
                <w:rFonts w:hint="eastAsia" w:ascii="仿宋" w:hAnsi="仿宋" w:eastAsia="仿宋" w:cs="仿宋"/>
                <w:b/>
                <w:kern w:val="0"/>
                <w:sz w:val="32"/>
                <w:szCs w:val="32"/>
              </w:rPr>
              <w:t>经费保障形式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92" w:type="dxa"/>
            <w:noWrap w:val="0"/>
            <w:vAlign w:val="center"/>
          </w:tcPr>
          <w:p>
            <w:pPr>
              <w:jc w:val="center"/>
              <w:rPr>
                <w:rFonts w:hint="eastAsia" w:ascii="仿宋" w:hAnsi="仿宋" w:eastAsia="仿宋" w:cs="仿宋"/>
                <w:kern w:val="0"/>
                <w:sz w:val="28"/>
                <w:szCs w:val="28"/>
              </w:rPr>
            </w:pPr>
            <w:r>
              <w:rPr>
                <w:rFonts w:hint="eastAsia" w:ascii="仿宋" w:hAnsi="仿宋" w:eastAsia="仿宋" w:cs="仿宋"/>
                <w:sz w:val="28"/>
                <w:szCs w:val="28"/>
              </w:rPr>
              <w:t>石家庄市鹿泉区</w:t>
            </w:r>
            <w:r>
              <w:rPr>
                <w:rFonts w:hint="eastAsia" w:ascii="仿宋" w:hAnsi="仿宋" w:eastAsia="仿宋" w:cs="仿宋"/>
                <w:color w:val="000000"/>
                <w:kern w:val="0"/>
                <w:sz w:val="28"/>
                <w:szCs w:val="28"/>
                <w:shd w:val="clear" w:color="auto" w:fill="FFFFFF"/>
              </w:rPr>
              <w:t>黄壁庄镇</w:t>
            </w:r>
            <w:r>
              <w:rPr>
                <w:rFonts w:hint="eastAsia" w:ascii="仿宋" w:hAnsi="仿宋" w:eastAsia="仿宋" w:cs="仿宋"/>
                <w:sz w:val="28"/>
                <w:szCs w:val="28"/>
              </w:rPr>
              <w:t>人民政府</w:t>
            </w:r>
          </w:p>
        </w:tc>
        <w:tc>
          <w:tcPr>
            <w:tcW w:w="2492" w:type="dxa"/>
            <w:noWrap w:val="0"/>
            <w:vAlign w:val="center"/>
          </w:tcPr>
          <w:p>
            <w:pPr>
              <w:jc w:val="center"/>
              <w:rPr>
                <w:rFonts w:hint="eastAsia" w:ascii="仿宋" w:hAnsi="仿宋" w:eastAsia="仿宋" w:cs="仿宋"/>
                <w:kern w:val="0"/>
                <w:sz w:val="28"/>
                <w:szCs w:val="28"/>
              </w:rPr>
            </w:pPr>
            <w:r>
              <w:rPr>
                <w:rFonts w:hint="eastAsia" w:ascii="仿宋" w:hAnsi="仿宋" w:eastAsia="仿宋" w:cs="仿宋"/>
                <w:kern w:val="0"/>
                <w:sz w:val="28"/>
                <w:szCs w:val="28"/>
              </w:rPr>
              <w:t>行政</w:t>
            </w:r>
          </w:p>
        </w:tc>
        <w:tc>
          <w:tcPr>
            <w:tcW w:w="2492" w:type="dxa"/>
            <w:noWrap w:val="0"/>
            <w:vAlign w:val="center"/>
          </w:tcPr>
          <w:p>
            <w:pPr>
              <w:jc w:val="center"/>
              <w:rPr>
                <w:rFonts w:hint="eastAsia" w:ascii="仿宋" w:hAnsi="仿宋" w:eastAsia="仿宋" w:cs="仿宋"/>
                <w:kern w:val="0"/>
                <w:sz w:val="28"/>
                <w:szCs w:val="28"/>
              </w:rPr>
            </w:pPr>
            <w:r>
              <w:rPr>
                <w:rFonts w:hint="eastAsia" w:ascii="仿宋" w:hAnsi="仿宋" w:eastAsia="仿宋" w:cs="仿宋"/>
                <w:kern w:val="0"/>
                <w:sz w:val="28"/>
                <w:szCs w:val="28"/>
              </w:rPr>
              <w:t>正科级</w:t>
            </w:r>
          </w:p>
        </w:tc>
        <w:tc>
          <w:tcPr>
            <w:tcW w:w="2492" w:type="dxa"/>
            <w:noWrap w:val="0"/>
            <w:vAlign w:val="center"/>
          </w:tcPr>
          <w:p>
            <w:pPr>
              <w:jc w:val="center"/>
              <w:rPr>
                <w:rFonts w:hint="eastAsia" w:ascii="仿宋" w:hAnsi="仿宋" w:eastAsia="仿宋" w:cs="仿宋"/>
                <w:kern w:val="0"/>
                <w:sz w:val="28"/>
                <w:szCs w:val="28"/>
              </w:rPr>
            </w:pPr>
            <w:r>
              <w:rPr>
                <w:rFonts w:hint="eastAsia" w:ascii="仿宋" w:hAnsi="仿宋" w:eastAsia="仿宋" w:cs="仿宋"/>
                <w:kern w:val="0"/>
                <w:sz w:val="28"/>
                <w:szCs w:val="28"/>
              </w:rPr>
              <w:t>财政拨款</w:t>
            </w:r>
          </w:p>
        </w:tc>
      </w:tr>
    </w:tbl>
    <w:p>
      <w:pPr>
        <w:ind w:firstLine="640"/>
        <w:rPr>
          <w:rFonts w:hint="eastAsia" w:ascii="仿宋" w:hAnsi="仿宋" w:eastAsia="仿宋" w:cs="仿宋"/>
          <w:sz w:val="32"/>
          <w:szCs w:val="32"/>
        </w:rPr>
      </w:pPr>
    </w:p>
    <w:p>
      <w:pPr>
        <w:ind w:firstLine="640"/>
        <w:rPr>
          <w:rFonts w:hint="eastAsia" w:ascii="仿宋" w:hAnsi="仿宋" w:eastAsia="仿宋" w:cs="仿宋"/>
          <w:b/>
          <w:bCs/>
          <w:sz w:val="32"/>
          <w:szCs w:val="32"/>
        </w:rPr>
      </w:pPr>
      <w:r>
        <w:rPr>
          <w:rFonts w:hint="eastAsia" w:ascii="仿宋" w:hAnsi="仿宋" w:eastAsia="仿宋" w:cs="仿宋"/>
          <w:b/>
          <w:bCs/>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w:t>
      </w:r>
      <w:r>
        <w:rPr>
          <w:rFonts w:hint="eastAsia" w:ascii="仿宋" w:hAnsi="仿宋" w:eastAsia="仿宋" w:cs="仿宋"/>
          <w:sz w:val="32"/>
          <w:szCs w:val="32"/>
          <w:lang w:eastAsia="zh-CN"/>
        </w:rPr>
        <w:t>镇</w:t>
      </w:r>
      <w:r>
        <w:rPr>
          <w:rFonts w:hint="eastAsia" w:ascii="仿宋" w:hAnsi="仿宋" w:eastAsia="仿宋" w:cs="仿宋"/>
          <w:sz w:val="32"/>
          <w:szCs w:val="32"/>
        </w:rPr>
        <w:t>部门预算的编制实行综合预算管理，即全部收入和支出都反映在预算中。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1140.54</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1127.54</w:t>
      </w:r>
      <w:r>
        <w:rPr>
          <w:rFonts w:hint="eastAsia" w:ascii="仿宋" w:hAnsi="仿宋" w:eastAsia="仿宋" w:cs="仿宋"/>
          <w:sz w:val="32"/>
          <w:szCs w:val="32"/>
        </w:rPr>
        <w:t>万元，基金预算收入</w:t>
      </w:r>
      <w:r>
        <w:rPr>
          <w:rFonts w:hint="eastAsia" w:ascii="仿宋" w:hAnsi="仿宋" w:eastAsia="仿宋" w:cs="仿宋"/>
          <w:sz w:val="32"/>
          <w:szCs w:val="32"/>
          <w:lang w:val="en-US" w:eastAsia="zh-CN"/>
        </w:rPr>
        <w:t>13</w:t>
      </w:r>
      <w:r>
        <w:rPr>
          <w:rFonts w:hint="eastAsia" w:ascii="仿宋" w:hAnsi="仿宋" w:eastAsia="仿宋" w:cs="仿宋"/>
          <w:sz w:val="32"/>
          <w:szCs w:val="32"/>
        </w:rPr>
        <w:t>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收支预算总表支出栏、基本支出表、项目支出表按经济分类和支出功能分类科目编制，反映</w:t>
      </w:r>
      <w:r>
        <w:rPr>
          <w:rFonts w:hint="eastAsia" w:ascii="仿宋" w:hAnsi="仿宋" w:eastAsia="仿宋" w:cs="仿宋"/>
          <w:sz w:val="32"/>
          <w:szCs w:val="32"/>
          <w:lang w:eastAsia="zh-CN"/>
        </w:rPr>
        <w:t>石家庄市鹿泉区黄壁庄镇人民政府</w:t>
      </w:r>
      <w:r>
        <w:rPr>
          <w:rFonts w:hint="eastAsia" w:ascii="仿宋" w:hAnsi="仿宋" w:eastAsia="仿宋" w:cs="仿宋"/>
          <w:sz w:val="32"/>
          <w:szCs w:val="32"/>
        </w:rPr>
        <w:t>年度部门预算中支出预算的总体情况。2019年支出预算</w:t>
      </w:r>
      <w:r>
        <w:rPr>
          <w:rFonts w:hint="eastAsia" w:ascii="仿宋" w:hAnsi="仿宋" w:eastAsia="仿宋" w:cs="仿宋"/>
          <w:sz w:val="32"/>
          <w:szCs w:val="32"/>
          <w:lang w:val="en-US" w:eastAsia="zh-CN"/>
        </w:rPr>
        <w:t>1140.54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836.4</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563.14</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273.26</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304.14</w:t>
      </w:r>
      <w:r>
        <w:rPr>
          <w:rFonts w:hint="eastAsia" w:ascii="仿宋" w:hAnsi="仿宋" w:eastAsia="仿宋" w:cs="仿宋"/>
          <w:sz w:val="32"/>
          <w:szCs w:val="32"/>
        </w:rPr>
        <w:t>万元</w:t>
      </w:r>
      <w:r>
        <w:rPr>
          <w:rFonts w:hint="eastAsia" w:ascii="仿宋" w:hAnsi="仿宋" w:eastAsia="仿宋" w:cs="仿宋"/>
          <w:sz w:val="32"/>
          <w:szCs w:val="32"/>
          <w:lang w:eastAsia="zh-CN"/>
        </w:rPr>
        <w:t>（其中政府基金</w:t>
      </w:r>
      <w:r>
        <w:rPr>
          <w:rFonts w:hint="eastAsia" w:ascii="仿宋" w:hAnsi="仿宋" w:eastAsia="仿宋" w:cs="仿宋"/>
          <w:sz w:val="32"/>
          <w:szCs w:val="32"/>
          <w:lang w:val="en-US" w:eastAsia="zh-CN"/>
        </w:rPr>
        <w:t>13万元</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1140.54</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522.32</w:t>
      </w:r>
      <w:r>
        <w:rPr>
          <w:rFonts w:hint="eastAsia" w:ascii="仿宋" w:hAnsi="仿宋" w:eastAsia="仿宋" w:cs="仿宋"/>
          <w:sz w:val="32"/>
          <w:szCs w:val="32"/>
        </w:rPr>
        <w:t>万元</w:t>
      </w:r>
      <w:r>
        <w:rPr>
          <w:rFonts w:hint="eastAsia" w:ascii="仿宋" w:hAnsi="仿宋" w:eastAsia="仿宋" w:cs="仿宋"/>
          <w:sz w:val="32"/>
          <w:szCs w:val="32"/>
        </w:rPr>
        <w:t>，</w:t>
      </w:r>
      <w:r>
        <w:rPr>
          <w:rFonts w:hint="eastAsia" w:ascii="仿宋" w:hAnsi="仿宋" w:eastAsia="仿宋" w:cs="仿宋"/>
          <w:sz w:val="32"/>
        </w:rPr>
        <w:t>主要为人员</w:t>
      </w:r>
      <w:r>
        <w:rPr>
          <w:rFonts w:hint="eastAsia" w:ascii="仿宋" w:hAnsi="仿宋" w:eastAsia="仿宋" w:cs="仿宋"/>
          <w:sz w:val="32"/>
          <w:lang w:eastAsia="zh-CN"/>
        </w:rPr>
        <w:t>经费增加，机关运行</w:t>
      </w:r>
      <w:r>
        <w:rPr>
          <w:rFonts w:hint="eastAsia" w:ascii="仿宋" w:hAnsi="仿宋" w:eastAsia="仿宋" w:cs="仿宋"/>
          <w:sz w:val="32"/>
        </w:rPr>
        <w:t>经费</w:t>
      </w:r>
      <w:r>
        <w:rPr>
          <w:rFonts w:hint="eastAsia" w:ascii="仿宋" w:hAnsi="仿宋" w:eastAsia="仿宋" w:cs="仿宋"/>
          <w:sz w:val="32"/>
          <w:lang w:eastAsia="zh-CN"/>
        </w:rPr>
        <w:t>增加</w:t>
      </w:r>
      <w:r>
        <w:rPr>
          <w:rFonts w:hint="eastAsia" w:ascii="仿宋" w:hAnsi="仿宋" w:eastAsia="仿宋" w:cs="仿宋"/>
          <w:sz w:val="32"/>
          <w:szCs w:val="32"/>
        </w:rPr>
        <w:t>。</w:t>
      </w:r>
    </w:p>
    <w:p>
      <w:pPr>
        <w:autoSpaceDE w:val="0"/>
        <w:autoSpaceDN w:val="0"/>
        <w:adjustRightInd w:val="0"/>
        <w:ind w:left="198"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rPr>
        <w:t>三、机关运行经费安排情况</w:t>
      </w:r>
    </w:p>
    <w:p>
      <w:pPr>
        <w:adjustRightInd w:val="0"/>
        <w:snapToGrid w:val="0"/>
        <w:spacing w:line="600" w:lineRule="exact"/>
        <w:ind w:firstLine="800" w:firstLineChars="250"/>
        <w:jc w:val="left"/>
        <w:rPr>
          <w:rFonts w:hint="eastAsia" w:ascii="仿宋" w:hAnsi="仿宋" w:eastAsia="仿宋" w:cs="仿宋"/>
          <w:sz w:val="32"/>
          <w:szCs w:val="32"/>
        </w:rPr>
      </w:pP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年预算机关运行经费支出</w:t>
      </w:r>
      <w:r>
        <w:rPr>
          <w:rFonts w:hint="eastAsia" w:ascii="仿宋" w:hAnsi="仿宋" w:eastAsia="仿宋" w:cs="仿宋"/>
          <w:sz w:val="32"/>
          <w:szCs w:val="32"/>
          <w:lang w:val="en-US" w:eastAsia="zh-CN"/>
        </w:rPr>
        <w:t>836.40</w:t>
      </w:r>
      <w:r>
        <w:rPr>
          <w:rFonts w:hint="eastAsia" w:ascii="仿宋" w:hAnsi="仿宋" w:eastAsia="仿宋" w:cs="仿宋"/>
          <w:sz w:val="32"/>
          <w:szCs w:val="32"/>
        </w:rPr>
        <w:t>万元，</w:t>
      </w:r>
      <w:r>
        <w:rPr>
          <w:rFonts w:hint="eastAsia" w:ascii="仿宋" w:hAnsi="仿宋" w:eastAsia="仿宋" w:cs="仿宋"/>
          <w:sz w:val="32"/>
          <w:szCs w:val="32"/>
          <w:lang w:eastAsia="zh-CN"/>
        </w:rPr>
        <w:t>其中人员经费</w:t>
      </w:r>
      <w:r>
        <w:rPr>
          <w:rFonts w:hint="eastAsia" w:ascii="仿宋" w:hAnsi="仿宋" w:eastAsia="仿宋" w:cs="仿宋"/>
          <w:sz w:val="32"/>
          <w:szCs w:val="32"/>
          <w:lang w:val="en-US" w:eastAsia="zh-CN"/>
        </w:rPr>
        <w:t>563.14万元，</w:t>
      </w:r>
      <w:r>
        <w:rPr>
          <w:rFonts w:hint="eastAsia" w:ascii="仿宋" w:hAnsi="仿宋" w:eastAsia="仿宋" w:cs="仿宋"/>
          <w:sz w:val="32"/>
          <w:szCs w:val="32"/>
        </w:rPr>
        <w:t>日常公用</w:t>
      </w:r>
      <w:r>
        <w:rPr>
          <w:rFonts w:hint="eastAsia" w:ascii="仿宋" w:hAnsi="仿宋" w:eastAsia="仿宋" w:cs="仿宋"/>
          <w:sz w:val="32"/>
          <w:szCs w:val="32"/>
          <w:lang w:val="en-US" w:eastAsia="zh-CN"/>
        </w:rPr>
        <w:t>273.26</w:t>
      </w:r>
      <w:r>
        <w:rPr>
          <w:rFonts w:hint="eastAsia" w:ascii="仿宋" w:hAnsi="仿宋" w:eastAsia="仿宋" w:cs="仿宋"/>
          <w:sz w:val="32"/>
          <w:szCs w:val="32"/>
        </w:rPr>
        <w:t>万元</w:t>
      </w:r>
      <w:r>
        <w:rPr>
          <w:rFonts w:hint="eastAsia" w:ascii="仿宋" w:hAnsi="仿宋" w:eastAsia="仿宋" w:cs="仿宋"/>
          <w:sz w:val="32"/>
          <w:szCs w:val="32"/>
          <w:lang w:eastAsia="zh-CN"/>
        </w:rPr>
        <w:t>（其中</w:t>
      </w:r>
      <w:r>
        <w:rPr>
          <w:rFonts w:hint="eastAsia" w:ascii="仿宋" w:hAnsi="仿宋" w:eastAsia="仿宋" w:cs="仿宋"/>
          <w:sz w:val="32"/>
          <w:szCs w:val="32"/>
        </w:rPr>
        <w:t>公务用车维护运行费</w:t>
      </w:r>
      <w:r>
        <w:rPr>
          <w:rFonts w:hint="eastAsia" w:ascii="仿宋" w:hAnsi="仿宋" w:eastAsia="仿宋" w:cs="仿宋"/>
          <w:sz w:val="32"/>
          <w:szCs w:val="32"/>
          <w:lang w:val="en-US" w:eastAsia="zh-CN"/>
        </w:rPr>
        <w:t>8.1</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w:t>
      </w:r>
    </w:p>
    <w:p>
      <w:pPr>
        <w:autoSpaceDE w:val="0"/>
        <w:autoSpaceDN w:val="0"/>
        <w:adjustRightInd w:val="0"/>
        <w:ind w:left="198"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rPr>
        <w:t>四、财政拨款“三公”经费预算情况及增减变化原因</w:t>
      </w:r>
    </w:p>
    <w:p>
      <w:pPr>
        <w:ind w:firstLine="640" w:firstLineChars="200"/>
        <w:outlineLvl w:val="0"/>
        <w:rPr>
          <w:rFonts w:hint="eastAsia" w:ascii="仿宋" w:hAnsi="仿宋" w:eastAsia="仿宋" w:cs="仿宋"/>
          <w:sz w:val="32"/>
          <w:szCs w:val="32"/>
        </w:rPr>
      </w:pPr>
      <w:r>
        <w:rPr>
          <w:rFonts w:hint="eastAsia" w:ascii="仿宋" w:hAnsi="仿宋" w:eastAsia="仿宋" w:cs="仿宋"/>
          <w:sz w:val="32"/>
          <w:szCs w:val="32"/>
          <w:lang w:val="en-US" w:eastAsia="zh-CN"/>
        </w:rPr>
        <w:t>2019年石家庄市鹿泉区黄壁庄镇人民政府</w:t>
      </w:r>
      <w:r>
        <w:rPr>
          <w:rFonts w:hint="eastAsia" w:ascii="仿宋" w:hAnsi="仿宋" w:eastAsia="仿宋" w:cs="仿宋"/>
          <w:sz w:val="32"/>
          <w:szCs w:val="32"/>
        </w:rPr>
        <w:t>安排“三公”经费</w:t>
      </w:r>
      <w:r>
        <w:rPr>
          <w:rFonts w:hint="eastAsia" w:ascii="仿宋" w:hAnsi="仿宋" w:eastAsia="仿宋" w:cs="仿宋"/>
          <w:sz w:val="32"/>
          <w:szCs w:val="32"/>
          <w:lang w:val="en-US" w:eastAsia="zh-CN"/>
        </w:rPr>
        <w:t>8.1</w:t>
      </w:r>
      <w:r>
        <w:rPr>
          <w:rFonts w:hint="eastAsia" w:ascii="仿宋" w:hAnsi="仿宋" w:eastAsia="仿宋" w:cs="仿宋"/>
          <w:sz w:val="32"/>
          <w:szCs w:val="32"/>
        </w:rPr>
        <w:t>万元，与201</w:t>
      </w:r>
      <w:r>
        <w:rPr>
          <w:rFonts w:hint="eastAsia" w:ascii="仿宋" w:hAnsi="仿宋" w:eastAsia="仿宋" w:cs="仿宋"/>
          <w:sz w:val="32"/>
          <w:szCs w:val="32"/>
          <w:lang w:val="en-US" w:eastAsia="zh-CN"/>
        </w:rPr>
        <w:t>8</w:t>
      </w:r>
      <w:r>
        <w:rPr>
          <w:rFonts w:hint="eastAsia" w:ascii="仿宋" w:hAnsi="仿宋" w:eastAsia="仿宋" w:cs="仿宋"/>
          <w:sz w:val="32"/>
          <w:szCs w:val="32"/>
        </w:rPr>
        <w:t>年预算相比</w:t>
      </w:r>
      <w:r>
        <w:rPr>
          <w:rFonts w:hint="eastAsia" w:ascii="仿宋" w:hAnsi="仿宋" w:eastAsia="仿宋" w:cs="仿宋"/>
          <w:sz w:val="32"/>
          <w:szCs w:val="32"/>
          <w:lang w:eastAsia="zh-CN"/>
        </w:rPr>
        <w:t>无增减变化，未安排因公出国、公务车购置经费和公务接待</w:t>
      </w:r>
      <w:r>
        <w:rPr>
          <w:rFonts w:hint="eastAsia" w:ascii="仿宋" w:hAnsi="仿宋" w:eastAsia="仿宋" w:cs="仿宋"/>
          <w:sz w:val="32"/>
          <w:szCs w:val="32"/>
        </w:rPr>
        <w:t>。</w:t>
      </w:r>
    </w:p>
    <w:p>
      <w:pPr>
        <w:numPr>
          <w:ilvl w:val="0"/>
          <w:numId w:val="1"/>
        </w:numPr>
        <w:ind w:firstLine="640" w:firstLineChars="200"/>
        <w:jc w:val="left"/>
        <w:outlineLvl w:val="0"/>
        <w:rPr>
          <w:rFonts w:hint="eastAsia" w:ascii="仿宋" w:hAnsi="仿宋" w:eastAsia="仿宋" w:cs="仿宋"/>
          <w:sz w:val="32"/>
          <w:szCs w:val="32"/>
        </w:rPr>
      </w:pPr>
      <w:r>
        <w:rPr>
          <w:rFonts w:hint="eastAsia" w:ascii="仿宋" w:hAnsi="仿宋" w:eastAsia="仿宋" w:cs="仿宋"/>
          <w:sz w:val="32"/>
          <w:szCs w:val="32"/>
        </w:rPr>
        <w:t>因公出国（境）经费</w:t>
      </w:r>
    </w:p>
    <w:p>
      <w:pPr>
        <w:numPr>
          <w:ilvl w:val="0"/>
          <w:numId w:val="0"/>
        </w:numPr>
        <w:ind w:firstLine="640" w:firstLineChars="200"/>
        <w:jc w:val="left"/>
        <w:outlineLvl w:val="0"/>
        <w:rPr>
          <w:rFonts w:hint="eastAsia" w:ascii="仿宋" w:hAnsi="仿宋" w:eastAsia="仿宋" w:cs="仿宋"/>
          <w:sz w:val="32"/>
          <w:szCs w:val="32"/>
        </w:rPr>
      </w:pPr>
      <w:r>
        <w:rPr>
          <w:rFonts w:hint="eastAsia" w:ascii="仿宋" w:hAnsi="仿宋" w:eastAsia="仿宋" w:cs="仿宋"/>
          <w:sz w:val="32"/>
          <w:szCs w:val="32"/>
          <w:lang w:val="en-US" w:eastAsia="zh-CN"/>
        </w:rPr>
        <w:t>2019年石家庄市鹿泉区黄壁庄镇人民政府</w:t>
      </w:r>
      <w:r>
        <w:rPr>
          <w:rFonts w:hint="eastAsia" w:ascii="仿宋" w:hAnsi="仿宋" w:eastAsia="仿宋" w:cs="仿宋"/>
          <w:sz w:val="32"/>
          <w:szCs w:val="32"/>
        </w:rPr>
        <w:t>安排的出国计划</w:t>
      </w:r>
      <w:r>
        <w:rPr>
          <w:rFonts w:hint="eastAsia" w:ascii="仿宋" w:hAnsi="仿宋" w:eastAsia="仿宋" w:cs="仿宋"/>
          <w:sz w:val="32"/>
          <w:szCs w:val="32"/>
          <w:lang w:eastAsia="zh-CN"/>
        </w:rPr>
        <w:t>，</w:t>
      </w:r>
      <w:r>
        <w:rPr>
          <w:rFonts w:hint="eastAsia" w:ascii="仿宋" w:hAnsi="仿宋" w:eastAsia="仿宋" w:cs="仿宋"/>
          <w:sz w:val="32"/>
          <w:szCs w:val="32"/>
        </w:rPr>
        <w:t>拟安排出国境组0次，出国境0人，安排出国（境）经费预算0万元，与201</w:t>
      </w:r>
      <w:r>
        <w:rPr>
          <w:rFonts w:hint="eastAsia" w:ascii="仿宋" w:hAnsi="仿宋" w:eastAsia="仿宋" w:cs="仿宋"/>
          <w:sz w:val="32"/>
          <w:szCs w:val="32"/>
          <w:lang w:val="en-US" w:eastAsia="zh-CN"/>
        </w:rPr>
        <w:t>8</w:t>
      </w:r>
      <w:r>
        <w:rPr>
          <w:rFonts w:hint="eastAsia" w:ascii="仿宋" w:hAnsi="仿宋" w:eastAsia="仿宋" w:cs="仿宋"/>
          <w:sz w:val="32"/>
          <w:szCs w:val="32"/>
        </w:rPr>
        <w:t>年预算</w:t>
      </w:r>
      <w:r>
        <w:rPr>
          <w:rFonts w:hint="eastAsia" w:ascii="仿宋" w:hAnsi="仿宋" w:eastAsia="仿宋" w:cs="仿宋"/>
          <w:sz w:val="32"/>
          <w:szCs w:val="32"/>
          <w:lang w:eastAsia="zh-CN"/>
        </w:rPr>
        <w:t>持平</w:t>
      </w:r>
      <w:r>
        <w:rPr>
          <w:rFonts w:hint="eastAsia" w:ascii="仿宋" w:hAnsi="仿宋" w:eastAsia="仿宋" w:cs="仿宋"/>
          <w:sz w:val="32"/>
          <w:szCs w:val="32"/>
        </w:rPr>
        <w:t>，无增减变化。</w:t>
      </w:r>
    </w:p>
    <w:p>
      <w:pPr>
        <w:numPr>
          <w:ilvl w:val="0"/>
          <w:numId w:val="1"/>
        </w:numPr>
        <w:ind w:firstLine="640" w:firstLineChars="200"/>
        <w:outlineLvl w:val="0"/>
        <w:rPr>
          <w:rFonts w:hint="eastAsia" w:ascii="仿宋" w:hAnsi="仿宋" w:eastAsia="仿宋" w:cs="仿宋"/>
          <w:sz w:val="32"/>
          <w:szCs w:val="32"/>
        </w:rPr>
      </w:pPr>
      <w:r>
        <w:rPr>
          <w:rFonts w:hint="eastAsia" w:ascii="仿宋" w:hAnsi="仿宋" w:eastAsia="仿宋" w:cs="仿宋"/>
          <w:sz w:val="32"/>
          <w:szCs w:val="32"/>
        </w:rPr>
        <w:t>公务用车购置及运行维护费</w:t>
      </w:r>
    </w:p>
    <w:p>
      <w:pPr>
        <w:numPr>
          <w:ilvl w:val="0"/>
          <w:numId w:val="0"/>
        </w:numPr>
        <w:ind w:firstLine="640" w:firstLineChars="200"/>
        <w:outlineLvl w:val="0"/>
        <w:rPr>
          <w:rFonts w:hint="eastAsia" w:ascii="仿宋" w:hAnsi="仿宋" w:eastAsia="仿宋" w:cs="仿宋"/>
          <w:sz w:val="32"/>
          <w:szCs w:val="32"/>
        </w:rPr>
      </w:pPr>
      <w:r>
        <w:rPr>
          <w:rFonts w:hint="eastAsia" w:ascii="仿宋" w:hAnsi="仿宋" w:eastAsia="仿宋" w:cs="仿宋"/>
          <w:sz w:val="32"/>
          <w:szCs w:val="32"/>
          <w:lang w:val="en-US" w:eastAsia="zh-CN"/>
        </w:rPr>
        <w:t>2019年石家庄市鹿泉区黄壁庄镇人民政府</w:t>
      </w:r>
      <w:r>
        <w:rPr>
          <w:rFonts w:hint="eastAsia" w:ascii="仿宋" w:hAnsi="仿宋" w:eastAsia="仿宋" w:cs="仿宋"/>
          <w:sz w:val="32"/>
          <w:szCs w:val="32"/>
        </w:rPr>
        <w:t>安排的公务用车购置及运行维护费</w:t>
      </w:r>
      <w:r>
        <w:rPr>
          <w:rFonts w:hint="eastAsia" w:ascii="仿宋" w:hAnsi="仿宋" w:eastAsia="仿宋" w:cs="仿宋"/>
          <w:sz w:val="32"/>
          <w:szCs w:val="32"/>
          <w:lang w:val="en-US" w:eastAsia="zh-CN"/>
        </w:rPr>
        <w:t>8.1</w:t>
      </w:r>
      <w:r>
        <w:rPr>
          <w:rFonts w:hint="eastAsia" w:ascii="仿宋" w:hAnsi="仿宋" w:eastAsia="仿宋" w:cs="仿宋"/>
          <w:sz w:val="32"/>
          <w:szCs w:val="32"/>
        </w:rPr>
        <w:t>万元，</w:t>
      </w:r>
      <w:r>
        <w:rPr>
          <w:rFonts w:hint="eastAsia" w:ascii="仿宋" w:hAnsi="仿宋" w:eastAsia="仿宋" w:cs="仿宋"/>
          <w:sz w:val="32"/>
          <w:szCs w:val="32"/>
          <w:lang w:eastAsia="zh-CN"/>
        </w:rPr>
        <w:t>其中公务车购置</w:t>
      </w:r>
      <w:r>
        <w:rPr>
          <w:rFonts w:hint="eastAsia" w:ascii="仿宋" w:hAnsi="仿宋" w:eastAsia="仿宋" w:cs="仿宋"/>
          <w:sz w:val="32"/>
          <w:szCs w:val="32"/>
          <w:lang w:val="en-US" w:eastAsia="zh-CN"/>
        </w:rPr>
        <w:t>0万元，公务车运行维护8.1万元，</w:t>
      </w:r>
      <w:r>
        <w:rPr>
          <w:rFonts w:hint="eastAsia" w:ascii="仿宋" w:hAnsi="仿宋" w:eastAsia="仿宋" w:cs="仿宋"/>
          <w:sz w:val="32"/>
          <w:szCs w:val="32"/>
        </w:rPr>
        <w:t>与201</w:t>
      </w:r>
      <w:r>
        <w:rPr>
          <w:rFonts w:hint="eastAsia" w:ascii="仿宋" w:hAnsi="仿宋" w:eastAsia="仿宋" w:cs="仿宋"/>
          <w:sz w:val="32"/>
          <w:szCs w:val="32"/>
          <w:lang w:val="en-US" w:eastAsia="zh-CN"/>
        </w:rPr>
        <w:t>8</w:t>
      </w:r>
      <w:r>
        <w:rPr>
          <w:rFonts w:hint="eastAsia" w:ascii="仿宋" w:hAnsi="仿宋" w:eastAsia="仿宋" w:cs="仿宋"/>
          <w:sz w:val="32"/>
          <w:szCs w:val="32"/>
        </w:rPr>
        <w:t>年预算相比</w:t>
      </w:r>
      <w:r>
        <w:rPr>
          <w:rFonts w:hint="eastAsia" w:ascii="仿宋" w:hAnsi="仿宋" w:eastAsia="仿宋" w:cs="仿宋"/>
          <w:sz w:val="32"/>
          <w:szCs w:val="32"/>
          <w:lang w:eastAsia="zh-CN"/>
        </w:rPr>
        <w:t>无增减变化</w:t>
      </w:r>
      <w:r>
        <w:rPr>
          <w:rFonts w:hint="eastAsia" w:ascii="仿宋" w:hAnsi="仿宋" w:eastAsia="仿宋" w:cs="仿宋"/>
          <w:sz w:val="32"/>
          <w:szCs w:val="32"/>
        </w:rPr>
        <w:t>。</w:t>
      </w:r>
    </w:p>
    <w:p>
      <w:pPr>
        <w:ind w:firstLine="640" w:firstLineChars="200"/>
        <w:jc w:val="left"/>
        <w:outlineLvl w:val="0"/>
        <w:rPr>
          <w:rFonts w:hint="eastAsia" w:ascii="仿宋" w:hAnsi="仿宋" w:eastAsia="仿宋" w:cs="仿宋"/>
          <w:sz w:val="32"/>
          <w:szCs w:val="32"/>
        </w:rPr>
      </w:pPr>
      <w:r>
        <w:rPr>
          <w:rFonts w:hint="eastAsia" w:ascii="仿宋" w:hAnsi="仿宋" w:eastAsia="仿宋" w:cs="仿宋"/>
          <w:sz w:val="32"/>
          <w:szCs w:val="32"/>
        </w:rPr>
        <w:t>3、公务接待费</w:t>
      </w:r>
    </w:p>
    <w:p>
      <w:pPr>
        <w:ind w:firstLine="640" w:firstLineChars="200"/>
        <w:outlineLvl w:val="0"/>
        <w:rPr>
          <w:rFonts w:hint="eastAsia" w:ascii="仿宋" w:hAnsi="仿宋" w:eastAsia="仿宋" w:cs="仿宋"/>
          <w:sz w:val="32"/>
          <w:szCs w:val="32"/>
        </w:rPr>
      </w:pPr>
      <w:r>
        <w:rPr>
          <w:rFonts w:hint="eastAsia" w:ascii="仿宋" w:hAnsi="仿宋" w:eastAsia="仿宋" w:cs="仿宋"/>
          <w:sz w:val="32"/>
          <w:szCs w:val="32"/>
          <w:lang w:val="en-US" w:eastAsia="zh-CN"/>
        </w:rPr>
        <w:t>2019年石家庄市鹿泉区黄壁庄镇人民政府</w:t>
      </w:r>
      <w:r>
        <w:rPr>
          <w:rFonts w:hint="eastAsia" w:ascii="仿宋" w:hAnsi="仿宋" w:eastAsia="仿宋" w:cs="仿宋"/>
          <w:sz w:val="32"/>
          <w:szCs w:val="32"/>
        </w:rPr>
        <w:t>安排的公务接待费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万元，与201</w:t>
      </w:r>
      <w:r>
        <w:rPr>
          <w:rFonts w:hint="eastAsia" w:ascii="仿宋" w:hAnsi="仿宋" w:eastAsia="仿宋" w:cs="仿宋"/>
          <w:sz w:val="32"/>
          <w:szCs w:val="32"/>
          <w:lang w:val="en-US" w:eastAsia="zh-CN"/>
        </w:rPr>
        <w:t>8</w:t>
      </w:r>
      <w:r>
        <w:rPr>
          <w:rFonts w:hint="eastAsia" w:ascii="仿宋" w:hAnsi="仿宋" w:eastAsia="仿宋" w:cs="仿宋"/>
          <w:sz w:val="32"/>
          <w:szCs w:val="32"/>
        </w:rPr>
        <w:t>年预算相比</w:t>
      </w:r>
      <w:r>
        <w:rPr>
          <w:rFonts w:hint="eastAsia" w:ascii="仿宋" w:hAnsi="仿宋" w:eastAsia="仿宋" w:cs="仿宋"/>
          <w:sz w:val="32"/>
          <w:szCs w:val="32"/>
          <w:lang w:eastAsia="zh-CN"/>
        </w:rPr>
        <w:t>无增减变化</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p>
    <w:p>
      <w:pPr>
        <w:ind w:firstLine="640"/>
        <w:rPr>
          <w:rFonts w:hint="eastAsia" w:ascii="仿宋" w:hAnsi="仿宋" w:eastAsia="仿宋" w:cs="仿宋"/>
          <w:b/>
          <w:bCs/>
          <w:sz w:val="32"/>
          <w:szCs w:val="32"/>
        </w:rPr>
      </w:pPr>
      <w:r>
        <w:rPr>
          <w:rFonts w:hint="eastAsia" w:ascii="仿宋" w:hAnsi="仿宋" w:eastAsia="仿宋" w:cs="仿宋"/>
          <w:b/>
          <w:bCs/>
          <w:sz w:val="32"/>
          <w:szCs w:val="32"/>
        </w:rPr>
        <w:t>五、绩效预算信息</w:t>
      </w:r>
    </w:p>
    <w:p>
      <w:pPr>
        <w:spacing w:line="500" w:lineRule="exact"/>
        <w:ind w:left="420" w:firstLine="560"/>
        <w:rPr>
          <w:rFonts w:hint="eastAsia" w:ascii="仿宋" w:hAnsi="仿宋" w:eastAsia="仿宋" w:cs="仿宋"/>
          <w:b w:val="0"/>
          <w:bCs/>
          <w:sz w:val="32"/>
          <w:szCs w:val="32"/>
        </w:rPr>
      </w:pPr>
      <w:bookmarkStart w:id="0" w:name="_Toc471398463"/>
      <w:r>
        <w:rPr>
          <w:rFonts w:hint="eastAsia" w:ascii="仿宋" w:hAnsi="仿宋" w:eastAsia="仿宋" w:cs="仿宋"/>
          <w:b w:val="0"/>
          <w:bCs/>
          <w:sz w:val="32"/>
          <w:szCs w:val="32"/>
        </w:rPr>
        <w:t>总体绩效目标：</w:t>
      </w:r>
    </w:p>
    <w:p>
      <w:pPr>
        <w:spacing w:line="500" w:lineRule="exact"/>
        <w:ind w:left="420" w:firstLine="560"/>
        <w:rPr>
          <w:rFonts w:hint="eastAsia" w:ascii="仿宋" w:hAnsi="仿宋" w:eastAsia="仿宋" w:cs="仿宋"/>
          <w:b w:val="0"/>
          <w:bCs/>
          <w:sz w:val="32"/>
          <w:szCs w:val="32"/>
        </w:rPr>
      </w:pPr>
    </w:p>
    <w:p>
      <w:pPr>
        <w:spacing w:line="500" w:lineRule="exact"/>
        <w:ind w:left="420" w:firstLine="560"/>
        <w:rPr>
          <w:rFonts w:hint="eastAsia" w:ascii="仿宋" w:hAnsi="仿宋" w:eastAsia="仿宋" w:cs="仿宋"/>
          <w:sz w:val="32"/>
          <w:szCs w:val="32"/>
        </w:rPr>
      </w:pPr>
      <w:r>
        <w:rPr>
          <w:rFonts w:hint="eastAsia" w:ascii="仿宋" w:hAnsi="仿宋" w:eastAsia="仿宋" w:cs="仿宋"/>
          <w:sz w:val="32"/>
          <w:szCs w:val="32"/>
        </w:rPr>
        <w:t>2019年工作总体目标</w:t>
      </w:r>
    </w:p>
    <w:p>
      <w:pPr>
        <w:spacing w:line="500" w:lineRule="exact"/>
        <w:ind w:left="420" w:firstLine="560"/>
        <w:rPr>
          <w:rFonts w:hint="eastAsia" w:ascii="仿宋" w:hAnsi="仿宋" w:eastAsia="仿宋" w:cs="仿宋"/>
          <w:sz w:val="32"/>
          <w:szCs w:val="32"/>
        </w:rPr>
      </w:pPr>
      <w:r>
        <w:rPr>
          <w:rFonts w:hint="eastAsia" w:ascii="仿宋" w:hAnsi="仿宋" w:eastAsia="仿宋" w:cs="仿宋"/>
          <w:sz w:val="32"/>
          <w:szCs w:val="32"/>
        </w:rPr>
        <w:t>始终坚持以习近平新时代中国特色社会主义思想为指导，全面贯彻党的十九大和十九届二中、三中全会精神，深入落实党中央和省、市、区委重大决策部署，统筹推进“五位一体”总体布局，协调推进“四个全面”战略布局，以新发展理念为指引，以全面深化改革为统领，以绿色发展为主线，以北部振兴攻坚、第四届河北省旅发大会为契机，以重点谋划水源保护区特色农产品种植基地为主要目标任务，建设北部生态农业观光园区，力争实现财政收入、公共财政预算收入增长10%以上。</w:t>
      </w:r>
    </w:p>
    <w:p>
      <w:pPr>
        <w:ind w:firstLine="643" w:firstLineChars="200"/>
        <w:jc w:val="left"/>
        <w:rPr>
          <w:rFonts w:hint="eastAsia" w:ascii="仿宋" w:hAnsi="仿宋" w:eastAsia="仿宋" w:cs="仿宋"/>
          <w:b/>
          <w:sz w:val="32"/>
          <w:szCs w:val="32"/>
        </w:rPr>
      </w:pPr>
    </w:p>
    <w:p>
      <w:pPr>
        <w:spacing w:line="500" w:lineRule="exact"/>
        <w:ind w:firstLine="560"/>
        <w:rPr>
          <w:rFonts w:hint="eastAsia" w:ascii="仿宋" w:hAnsi="仿宋" w:eastAsia="仿宋" w:cs="仿宋"/>
          <w:sz w:val="32"/>
          <w:szCs w:val="32"/>
        </w:rPr>
      </w:pPr>
      <w:r>
        <w:rPr>
          <w:rFonts w:hint="eastAsia" w:ascii="仿宋" w:hAnsi="仿宋" w:eastAsia="仿宋" w:cs="仿宋"/>
          <w:sz w:val="28"/>
        </w:rPr>
        <w:t xml:space="preserve"> </w:t>
      </w:r>
      <w:r>
        <w:rPr>
          <w:rFonts w:hint="eastAsia" w:ascii="仿宋" w:hAnsi="仿宋" w:eastAsia="仿宋" w:cs="仿宋"/>
          <w:sz w:val="32"/>
          <w:szCs w:val="32"/>
        </w:rPr>
        <w:t>职责分类绩效目标</w:t>
      </w:r>
    </w:p>
    <w:p>
      <w:pPr>
        <w:spacing w:line="500" w:lineRule="exact"/>
        <w:ind w:firstLine="560"/>
        <w:rPr>
          <w:rFonts w:hint="eastAsia" w:ascii="仿宋" w:hAnsi="仿宋" w:eastAsia="仿宋" w:cs="仿宋"/>
          <w:sz w:val="32"/>
          <w:szCs w:val="32"/>
        </w:rPr>
      </w:pP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（一）党政事务管理</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1.1办公室综合事务,严控会议计划、会议规模和会期，严格会议开支标准，严控活动数量，降低会议和活动费用开支。严格执行接待标准，降低接待费规模。领导满意，批示率高。及时完善网站信息。机关基础设施运转良好。</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1.2人大综合事务,组织召开乡人大代表会议，组织人大代表搞好视察调研活动，组织人大代表评议站所活动。</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1.3纪委综合事务,严肃查处各项违纪违法案件，坚决维护党纪国法尊严。组织协调党风廉政建设和反腐败宣传教育工作。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1.4党委组织综合事务,持续深入推进作风建设，加强辖区内党（总）支部班子、村两委干部、大学生村官队伍建设，扎实推进基层服务型党组织建设，切实履行管党职责；落实社区党建经费；做好发展党员、党员管理、党员教育培训工作；开展党员志愿服务、党员活动日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1.5宣传综合事务,做好对国家政策的宣传工作。全年完成工作份额。推动全乡基层群众文化艺术健康发展。</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1.6妇联综合事务,完成上级交办的各项任务目标，加强文明生态村建设，提高妇女素质。利用“三八”维权周活动并加强日常法律、法规的宣传，提高富昂达妇女儿童的维权意识和维权能力，积极维护妇女儿童的合法权益。不断提高妇联组织自身建设，提升妇女干部服务妇女的能力和水平，保障妇女维权，妇女事业有序发展。</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1.7工会综合事务,维护好以工资为核心的各项劳动经济权益，确保职工合法权益得到有效保障，强组织和干部队伍建设，提高干部业务素质和大型企事业单位工会领导干部水平，促进工会事业发展。提高职工代表大会制度和联席会议制度的规范化和有效性。</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1.8共青团综合事务,依托党建带团建做好推优入党工作，开展学雷锋日活动，帮扶孤寡老人，慰问困难学生，组织青年开展文体活动。</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（二）经济发展事务管理</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2.1项目管理综合事务,配合土地局查处土地违法行为。</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2.2财务管理综合事务,编制乡年度财政预决算、管理和监督乡各项财政收支、协调完成税收征管任务、管理专项资金、国有资产转让管理、产权登记等工作。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2.3农业综合管理事务,做好畜禽普查、对养殖户定期发放疫苗和消毒液。确保不发生重大农产品质量安全事件，宣传农业技术，指导农业生产，宣传农技补贴政策。</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2.4统计综合事务,分年度完成普查工作，确保普查的顺利完成。组织开展专项统计调查工作，了解基层情况和动态提供统计信息和咨询意见。保证统计数据的顺利报送。</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2.5农村集体经济管理事务,对农村集体经济组织的经营活动进行指导、检查、监督、对村干部及时进行离任审计，农村财务人员和审计人员培训、股份制改革、村务公开。</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（三）计划生育事务管理</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3.1计划生育事务管理，优化办证环境，简化办证程序，提高窗口服务质量。全面落实计划生育各项奖励政策。利用河北省全员流动人口系统交换平台为每位流动人口提供便捷服务。为独生子女和双女户家庭入计生家庭意外伤害保险，为计生特困户给予精神慰藉和资金救助，实行村民自治，利用两节两日做好宣传服务。完成已婚育龄妇女生殖健康检查及普查工作，做好孕前优生检测指导。</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（四）社会事务管理</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4.1民政综合事务,低保每年进行复审复核做到应保尽保，对困难群众做好救助，救灾，慰问困难群众。及时上报优抚对象资金，慰问优抚对象，拥军拥属。做好残疾人摸排，档案整理，助残日发放材料，办理公交爱心卡。做好教徒维稳摸排工作。做好村委会换届选举工作，敬老院管理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4.2武装综合事务,民兵组织建设、政治教育、军事训练及武器装备管理，防汛物资抢险救灾，征兵工作，国防教育，军事设施保护。</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4.3食品安全综合事务,确保我乡食品安全，不出现重大事故。提升食品安全监管水平。协调乡村联动，对突发事件处置及时并在全乡开展食品药品安全考评。代发放食品安全协管员工资奖金。</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4.4城市管理综合事务,贯彻有关城市法律、法规和规章制度，制定辖区内城市管理工作计划并实施。负责辖区内背街小巷和居民区的环境卫生“门前三包”；查处露天烧烤摊点的管理工作。对辖区内各村环境卫生工作监督检查；各村建立卫生保洁队伍，建立规章制度。负责机关和下属单位开展爱国卫生运动。组织开展八方村经济林管护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（五）社会治安综合治理事务管理</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5.1综合治理事务,实现全乡经济社会发展、安全、安定、推进网格化管理，进一步健全立体化社会治安防控体系。就地化解矛盾，做到小事不出村，大事不出乡。反邪教宣传、应急处置防止小事端引发大事件。</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5.2信访维稳,受理来信，接待来访，为信访人提供服务。敏感时期对重点信访人稳控。进京、赴省、到市值班。</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5.3司法综合事务,严格执行社区矫正相关法规，确保不出现脱管、漏管。法制宣传教育进学校、进社区、进机关、进厂矿。有法律服务机构、落实法律援助政策村有完善的调解机构和调解员。</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（六）劳动保障服务事务</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6.1劳动保障，促进就业工作，健全公共就业服务体系。完善城乡居民养老保险政策。企业退休人员管理。社保补贴，就业困难认定。落实调解仲裁制度和劳动关系政策，特殊劳动保护政策，组织实施劳动监察，协调劳动者维权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6.2安全监察事务,不发生较大以上生产安全事故，严格控制一般生产安全事故，不发生死亡生产安全事故.对全乡的污染源实施全方位监控和治理，切配合区环保部门做好其它环境保护工作。</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（七）文化卫生服务事务</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7.1科普宣传事务,完善科普阵地，提高群众科普知识意识、利用展牌、条幅、宣传单、群众演出等各种形式，开展科普知识宣传。</w:t>
      </w:r>
    </w:p>
    <w:p>
      <w:pPr>
        <w:spacing w:line="500" w:lineRule="exact"/>
        <w:ind w:firstLine="560"/>
        <w:rPr>
          <w:rFonts w:hint="eastAsia" w:ascii="仿宋" w:hAnsi="仿宋" w:eastAsia="仿宋" w:cs="仿宋"/>
          <w:sz w:val="32"/>
          <w:szCs w:val="32"/>
        </w:rPr>
      </w:pPr>
      <w:r>
        <w:rPr>
          <w:rFonts w:hint="eastAsia" w:ascii="仿宋" w:hAnsi="仿宋" w:eastAsia="仿宋" w:cs="仿宋"/>
          <w:sz w:val="32"/>
          <w:szCs w:val="32"/>
        </w:rPr>
        <w:t>7.2文体活动,加强全乡基层文化队伍建设、提高群众体育运动水平。</w:t>
      </w:r>
    </w:p>
    <w:p>
      <w:pPr>
        <w:ind w:firstLine="560"/>
        <w:rPr>
          <w:rFonts w:hint="eastAsia" w:ascii="仿宋" w:hAnsi="仿宋" w:eastAsia="仿宋" w:cs="仿宋"/>
          <w:sz w:val="32"/>
          <w:szCs w:val="32"/>
        </w:rPr>
      </w:pPr>
    </w:p>
    <w:bookmarkEnd w:id="0"/>
    <w:p>
      <w:pPr>
        <w:jc w:val="center"/>
        <w:outlineLvl w:val="0"/>
        <w:rPr>
          <w:rFonts w:hint="eastAsia" w:ascii="仿宋" w:hAnsi="仿宋" w:eastAsia="仿宋" w:cs="仿宋"/>
          <w:sz w:val="32"/>
        </w:rPr>
      </w:pPr>
      <w:bookmarkStart w:id="1" w:name="_Toc2538816"/>
    </w:p>
    <w:p>
      <w:pPr>
        <w:jc w:val="center"/>
        <w:outlineLvl w:val="0"/>
        <w:rPr>
          <w:rFonts w:hint="eastAsia" w:ascii="仿宋" w:hAnsi="仿宋" w:eastAsia="仿宋" w:cs="仿宋"/>
          <w:sz w:val="32"/>
        </w:rPr>
      </w:pPr>
    </w:p>
    <w:p>
      <w:pPr>
        <w:jc w:val="center"/>
        <w:outlineLvl w:val="0"/>
        <w:rPr>
          <w:rFonts w:hint="eastAsia" w:ascii="仿宋" w:hAnsi="仿宋" w:eastAsia="仿宋" w:cs="仿宋"/>
          <w:sz w:val="32"/>
        </w:rPr>
      </w:pPr>
    </w:p>
    <w:p>
      <w:pPr>
        <w:jc w:val="center"/>
        <w:outlineLvl w:val="0"/>
        <w:rPr>
          <w:rFonts w:hint="eastAsia" w:ascii="仿宋" w:hAnsi="仿宋" w:eastAsia="仿宋" w:cs="仿宋"/>
          <w:color w:val="FFFFFF"/>
          <w:sz w:val="32"/>
        </w:rPr>
      </w:pPr>
      <w:r>
        <w:rPr>
          <w:rFonts w:hint="eastAsia" w:ascii="仿宋" w:hAnsi="仿宋" w:eastAsia="仿宋" w:cs="仿宋"/>
          <w:sz w:val="32"/>
        </w:rPr>
        <w:t>部门职责-工作活动绩效目标</w:t>
      </w:r>
      <w:r>
        <w:rPr>
          <w:rStyle w:val="12"/>
          <w:rFonts w:hint="eastAsia" w:ascii="仿宋" w:hAnsi="仿宋" w:eastAsia="仿宋" w:cs="仿宋"/>
          <w:color w:val="FFFFFF"/>
          <w:sz w:val="32"/>
        </w:rPr>
        <w:footnoteReference w:id="0" w:customMarkFollows="1"/>
        <w:sym w:font="Symbol" w:char="F020"/>
      </w:r>
      <w:bookmarkEnd w:id="1"/>
    </w:p>
    <w:tbl>
      <w:tblPr>
        <w:tblStyle w:val="8"/>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hint="eastAsia" w:ascii="仿宋" w:hAnsi="仿宋" w:eastAsia="仿宋" w:cs="仿宋"/>
                <w:sz w:val="24"/>
              </w:rPr>
            </w:pPr>
            <w:r>
              <w:rPr>
                <w:rFonts w:hint="eastAsia" w:ascii="仿宋" w:hAnsi="仿宋" w:eastAsia="仿宋" w:cs="仿宋"/>
                <w:sz w:val="24"/>
              </w:rPr>
              <w:t>820</w:t>
            </w:r>
            <w:r>
              <w:rPr>
                <w:rFonts w:hint="eastAsia" w:ascii="仿宋" w:hAnsi="仿宋" w:eastAsia="仿宋" w:cs="仿宋"/>
                <w:sz w:val="24"/>
              </w:rPr>
              <w:t>石家庄市鹿泉区黄壁庄镇人民政府</w:t>
            </w:r>
          </w:p>
        </w:tc>
        <w:tc>
          <w:tcPr>
            <w:tcW w:w="2948" w:type="dxa"/>
            <w:gridSpan w:val="4"/>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hint="eastAsia" w:ascii="仿宋" w:hAnsi="仿宋" w:eastAsia="仿宋" w:cs="仿宋"/>
                <w:sz w:val="24"/>
              </w:rPr>
            </w:pPr>
            <w:r>
              <w:rPr>
                <w:rFonts w:hint="eastAsia" w:ascii="仿宋" w:hAnsi="仿宋" w:eastAsia="仿宋" w:cs="仿宋"/>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职责活动</w:t>
            </w:r>
          </w:p>
        </w:tc>
        <w:tc>
          <w:tcPr>
            <w:tcW w:w="1276" w:type="dxa"/>
            <w:vMerge w:val="restart"/>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年度预算数</w:t>
            </w:r>
          </w:p>
        </w:tc>
        <w:tc>
          <w:tcPr>
            <w:tcW w:w="2976" w:type="dxa"/>
            <w:vMerge w:val="restart"/>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内容描述</w:t>
            </w:r>
          </w:p>
        </w:tc>
        <w:tc>
          <w:tcPr>
            <w:tcW w:w="2976" w:type="dxa"/>
            <w:vMerge w:val="restart"/>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绩效目标</w:t>
            </w:r>
          </w:p>
        </w:tc>
        <w:tc>
          <w:tcPr>
            <w:tcW w:w="1417" w:type="dxa"/>
            <w:vMerge w:val="restart"/>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绩效指标</w:t>
            </w:r>
          </w:p>
        </w:tc>
        <w:tc>
          <w:tcPr>
            <w:tcW w:w="2948" w:type="dxa"/>
            <w:gridSpan w:val="4"/>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noWrap w:val="0"/>
            <w:vAlign w:val="center"/>
          </w:tcPr>
          <w:p>
            <w:pPr>
              <w:spacing w:line="300" w:lineRule="exact"/>
              <w:jc w:val="left"/>
              <w:outlineLvl w:val="0"/>
              <w:rPr>
                <w:rFonts w:hint="eastAsia" w:ascii="仿宋" w:hAnsi="仿宋" w:eastAsia="仿宋" w:cs="仿宋"/>
              </w:rPr>
            </w:pPr>
          </w:p>
        </w:tc>
        <w:tc>
          <w:tcPr>
            <w:tcW w:w="1276" w:type="dxa"/>
            <w:vMerge w:val="continue"/>
            <w:shd w:val="clear" w:color="auto" w:fill="auto"/>
            <w:noWrap w:val="0"/>
            <w:vAlign w:val="center"/>
          </w:tcPr>
          <w:p>
            <w:pPr>
              <w:spacing w:line="300" w:lineRule="exact"/>
              <w:jc w:val="left"/>
              <w:outlineLvl w:val="0"/>
              <w:rPr>
                <w:rFonts w:hint="eastAsia" w:ascii="仿宋" w:hAnsi="仿宋" w:eastAsia="仿宋" w:cs="仿宋"/>
              </w:rPr>
            </w:pPr>
          </w:p>
        </w:tc>
        <w:tc>
          <w:tcPr>
            <w:tcW w:w="2976" w:type="dxa"/>
            <w:vMerge w:val="continue"/>
            <w:shd w:val="clear" w:color="auto" w:fill="auto"/>
            <w:noWrap w:val="0"/>
            <w:vAlign w:val="center"/>
          </w:tcPr>
          <w:p>
            <w:pPr>
              <w:spacing w:line="300" w:lineRule="exact"/>
              <w:jc w:val="left"/>
              <w:outlineLvl w:val="0"/>
              <w:rPr>
                <w:rFonts w:hint="eastAsia" w:ascii="仿宋" w:hAnsi="仿宋" w:eastAsia="仿宋" w:cs="仿宋"/>
              </w:rPr>
            </w:pPr>
          </w:p>
        </w:tc>
        <w:tc>
          <w:tcPr>
            <w:tcW w:w="2976" w:type="dxa"/>
            <w:vMerge w:val="continue"/>
            <w:shd w:val="clear" w:color="auto" w:fill="auto"/>
            <w:noWrap w:val="0"/>
            <w:vAlign w:val="center"/>
          </w:tcPr>
          <w:p>
            <w:pPr>
              <w:spacing w:line="300" w:lineRule="exact"/>
              <w:jc w:val="left"/>
              <w:outlineLvl w:val="0"/>
              <w:rPr>
                <w:rFonts w:hint="eastAsia" w:ascii="仿宋" w:hAnsi="仿宋" w:eastAsia="仿宋" w:cs="仿宋"/>
              </w:rPr>
            </w:pPr>
          </w:p>
        </w:tc>
        <w:tc>
          <w:tcPr>
            <w:tcW w:w="1417" w:type="dxa"/>
            <w:vMerge w:val="continue"/>
            <w:shd w:val="clear" w:color="auto" w:fill="auto"/>
            <w:noWrap w:val="0"/>
            <w:vAlign w:val="center"/>
          </w:tcPr>
          <w:p>
            <w:pPr>
              <w:spacing w:line="300" w:lineRule="exact"/>
              <w:jc w:val="left"/>
              <w:outlineLvl w:val="0"/>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优</w:t>
            </w:r>
          </w:p>
        </w:tc>
        <w:tc>
          <w:tcPr>
            <w:tcW w:w="737" w:type="dxa"/>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良</w:t>
            </w:r>
          </w:p>
        </w:tc>
        <w:tc>
          <w:tcPr>
            <w:tcW w:w="737" w:type="dxa"/>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中</w:t>
            </w:r>
          </w:p>
        </w:tc>
        <w:tc>
          <w:tcPr>
            <w:tcW w:w="737" w:type="dxa"/>
            <w:shd w:val="clear" w:color="auto" w:fill="auto"/>
            <w:noWrap w:val="0"/>
            <w:vAlign w:val="center"/>
          </w:tcPr>
          <w:p>
            <w:pPr>
              <w:spacing w:line="300" w:lineRule="exact"/>
              <w:jc w:val="center"/>
              <w:rPr>
                <w:rFonts w:hint="eastAsia" w:ascii="仿宋" w:hAnsi="仿宋" w:eastAsia="仿宋" w:cs="仿宋"/>
                <w:b/>
              </w:rPr>
            </w:pPr>
            <w:r>
              <w:rPr>
                <w:rFonts w:hint="eastAsia" w:ascii="仿宋" w:hAnsi="仿宋" w:eastAsia="仿宋" w:cs="仿宋"/>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一、机关事务管理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75.00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乡镇党委、政府各项工作的督导催办，处理机关日常事务，搞好文秘、档案管理、政务公开和机关后勤保障工作；负责相关党群单位的工作；抓好农村基层组织建设和民主政治建设。负责制定乡镇财政计划和经济发展规划；为招商引资、发展民营企业和第三产业提供服务；做好乡镇统计、审计工作；　负责社会治安综合治理和司法工作；做好宗教工作，打击邪教；调处矛盾纠纷；做好群众来信来访、社会稳定等工作。负责精神文明和新农村建设，以及与各部门社会事务工作的指导服务和协调</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完成党委、政府各项工作；做好信访工作，维护社会稳定；完成乡镇财政计划和经济发展规划，做好统计、审计工作；做好与各职责部门的社会事务工作。</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、综合业务管理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负责人大代表议政、人代会，做好各项工作的迎查、考核完成乡镇财政计划和经济发展规划，做好统计、审计工作；做好与各职责部门的社会事务工作。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完成人大代表议政、人代会，做好各项工作的迎查、考核，完成乡镇财政计划和经济发展规划，做好统计、审计工作；做好与各职责部门的社会事务工作。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会议活动完成率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、综合事务管理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75.00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完成机关日常事务，搞好文秘、档案管理、政务公开和机关后勤保障工作；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完成机关日常事务，搞好文秘、档案管理、政务公开和机关后勤保障工作；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工作任务完成率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、信访专项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做好信访工作，维护社会稳定；</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维护好社会的稳定</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上访案件</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不超过信访案件的</w:t>
            </w:r>
            <w:r>
              <w:rPr>
                <w:rFonts w:hint="eastAsia" w:ascii="仿宋" w:hAnsi="仿宋" w:eastAsia="仿宋" w:cs="仿宋"/>
              </w:rPr>
              <w:t>1%</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大于信访案件的</w:t>
            </w:r>
            <w:r>
              <w:rPr>
                <w:rFonts w:hint="eastAsia" w:ascii="仿宋" w:hAnsi="仿宋" w:eastAsia="仿宋" w:cs="仿宋"/>
              </w:rPr>
              <w:t>1%</w:t>
            </w:r>
            <w:r>
              <w:rPr>
                <w:rFonts w:hint="eastAsia" w:ascii="仿宋" w:hAnsi="仿宋" w:eastAsia="仿宋" w:cs="仿宋"/>
              </w:rPr>
              <w:t>，不超过信访案件的</w:t>
            </w: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大于信访案件的</w:t>
            </w:r>
            <w:r>
              <w:rPr>
                <w:rFonts w:hint="eastAsia" w:ascii="仿宋" w:hAnsi="仿宋" w:eastAsia="仿宋" w:cs="仿宋"/>
              </w:rPr>
              <w:t>2%</w:t>
            </w:r>
            <w:r>
              <w:rPr>
                <w:rFonts w:hint="eastAsia" w:ascii="仿宋" w:hAnsi="仿宋" w:eastAsia="仿宋" w:cs="仿宋"/>
              </w:rPr>
              <w:t>，不超过信访案件的</w:t>
            </w: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超过信访案件的</w:t>
            </w:r>
            <w:r>
              <w:rPr>
                <w:rFonts w:hint="eastAsia" w:ascii="仿宋" w:hAnsi="仿宋" w:eastAsia="仿宋" w:cs="仿宋"/>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二、农业综合服务</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10.00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负责配合农口部门（农、林、牧、水）做好农业技术服务和技术推广工作，动物防疫工作；加强农田水利基本建设，增强农业抗御自然灾害的能力。做好农村一事一议项目管理</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配合农口部门（农、林、牧、水）做好农业技术服务和技术推广工作，动物防疫工作；加强农田水利基本建设，增强农业抗御自然灾害的能力做好森林培育和护林防火工作。做好农村一事一议项目管理</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、农业专项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配合农业部门做好农业技术服务和技术推广及动物防疫，加强农业基本建设，增强农业抗御自然灾害的能力。</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提供群众满意的农业服务</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农村劳动力就业率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、林业专项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配合林业部门做好林业技术服务和技术推广，做好森林培育和护林防火工作。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提供群众满意的林业服务及护林防火工作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全乡镇完成年初造林绿化任务。</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、水利专项</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10.00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配合水利部门做好农田水机基础设施建设、开展群众安全饮水项目</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提供群众满意的水利方面服务</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项目完工率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4</w:t>
            </w:r>
            <w:r>
              <w:rPr>
                <w:rFonts w:hint="eastAsia" w:ascii="仿宋" w:hAnsi="仿宋" w:eastAsia="仿宋" w:cs="仿宋"/>
                <w:b/>
              </w:rPr>
              <w:t>、一事一议专项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做好农村一事一议档案的统一管理、监督项目的运行情况、督促项目的及时完成及确保完成质量</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确保一事一议项目的顺利运行及实施</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工作质量</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按时完成工作，质量高</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按时完成工作，质量一般</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基本完成工作</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未按时完成工作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三、卫生计生服务</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配合食品药品监督管理的协调、督导，做好新型农村合作医疗等卫生方面工作，负责计划生育技术服务及人口生育管理，负责育龄妇女普查、妇女病防治、四术及协会等项工作。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做好与食品药品监督管理的协调、督导及卫生方面工作，做好计划生育技术服务，负责育龄妇女普查、妇女病防治、四术及协会工作。</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、卫生专项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配合食品药品监督管理的协调、督导，做好新型农村合作医疗等卫生方面工作。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做好与食品药品监督管理的协调、督导及卫生方面工作，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检验监测能力与检测需求比率相适应</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、计生专项</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负责计划生育技术服务及人口生育管理，负责育龄妇女普查、妇女病防治、四术及协会等项工作。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做好计划生育技术服务，负责育龄妇女普查、妇女病防治、四术及协会工作。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免费孕前优生健康检查目标人群覆盖率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四、文化综合服务</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负责群众文化娱乐、体育活动、广播电视村村通等工作。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文化指导及相关培训；组织群众性文体活动及交流；组织农村党员干部现代远程教育教学</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、文化专项</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负责群众文化娱乐、体育活动、广播电视村村通等工作。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提高文体活动质量，增强群众的参与度，提供群众满意的服务</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群众文化体育活动组织覆盖率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五、社会保障服务</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27.99</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配合劳动保障部门做好劳动法的宣传贯彻、劳动就业、社会保障等工作。配合安全生产监督管理部门做好安全生产监督管理等工作。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保障部门做好相关宣传咨询工作；农村居民养老保险、民政低保、残疾、社会捐赠等事务办理等服务；配合安全生产监督管理部门做好安全生产监督管理等工作</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、社保专项</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27.99</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配合劳动保障部门做好劳动法的宣传贯彻、劳动就业、社会保障等工作。配合安全生产监督管理部门做好安全生产监督管理等工作。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保障部门做好相关宣传咨询工作；农村居民养老保险、民政低保、残疾、社会捐赠等事务办理等服务；配合安全生产监督管理部门做好安全生产监督管理等工作</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参保任务完成率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六、统计工作</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组织人口、农业等部门专项统计调查检测</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发布普查的主要数据公报，完成普查工作</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、普查和专项统计调查</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调查统计数据。</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组织开展普查及专项统计调查工作，了解基层情况和动态提供统计信息和咨询建议，确保普查和专项统计调查工作顺利完成。</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普查和专项统计调查</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七、财政工作</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加强财务会计管理工作，依法按照财经制度管理会计事务，做到量入微出。</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维护财经制度，办理好各项财经事项。</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、财政管理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财政对会计人员进行培训依法、依规、依纪办理会计事务。</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发挥财政职能，提高理财水平。</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财政人员培训率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、预算管理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做好预算编制，预算执行工作。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合理有效使用预算资金发挥资金效能。</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预算资金执行效能</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、财政监督管理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加强对财经法规制度的执行情况的监督检查。</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做好财政资金监督、绩效评价、投资评审、会计制度检查、农村三资管理的监督。</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财政监管力度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4</w:t>
            </w:r>
            <w:r>
              <w:rPr>
                <w:rFonts w:hint="eastAsia" w:ascii="仿宋" w:hAnsi="仿宋" w:eastAsia="仿宋" w:cs="仿宋"/>
                <w:b/>
              </w:rPr>
              <w:t>、国有资产</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做好国有资产的维护保养，确保国有资产保值、增值，做好固定资产的登记、造册。</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保证国有资产完整，防止国有资产流失。</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国有资产保全率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&lt;85%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八、民政工作</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承担社会救助体系建设，负责农村居民最低生活保障、五保供养、医疗救助。</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完善农村社会救助制度，实施分类救助，应保尽保，动态管理。</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、农村最低生活保障</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负责符合条件的农村居民最低生活保障工作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实行动态管理，做到应保尽保、应退尽退。</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农村低保保障率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、农村五保供养</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负责农村五保户的分散供养工作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农村五保供养标准、供养能力逐步提高。</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五保供养保障率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、临时生活救助</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负责符合条件的农村居民的临时生活救助</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缓解意外事件对特殊困难家庭造成的生活困难。</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生活救助到位率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九、医疗保障</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通过贯彻实施新型农村合作医疗、疾病应急救助、城乡居民大病保险以及公费医疗等制度，保障人民群众公平享有所需医疗服务权益。</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扩大各项保险的覆盖面，及时足额落实社会保险待遇。</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、新型农村合作医疗及城乡居民大病保险</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组织、引导、支持，农民自愿参加新型农村合作医疗，提高农村居民的医疗保障水平；建立大病保险制度；对城乡居民因患大病发生的高额医疗费用给予报销。</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有效降低城乡居民看病就医的经济负担。</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新农合参合率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十、安全生产综合监督管理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承担安全生产综合监督管理责任，依法行使综合监督管理职权；根据《安全生产法》、《安全生产违法行为行政处罚办法》等法律法规，依法开展执法检查工作，对发现的安全生产违法行为依法进行行政处罚，遏制重特大事故发生，确保全县安全生产形势稳定好转。</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对重点行业和作业场所职业卫生安全生产加强行政执法监察；开展重大危险源执法检查工作；开展安全事故检查及安全生产宣传教育活动；促进企业全面落实安全生产诚信管理。</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、加强安全生产综合监督管理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定期组织在乡镇内开展安全生产检查活动，对重点行业和作业场所职业卫生安全生产进行检查；不断加强安全生产监管能力建设；组织开展安全生产教育活动，促进企业全面落实安全生产诚信管理。</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通过检查安全生产，最大限度地发现、纠正、督促企业消除各类隐患，预防和减少事故的发生，确保乡镇安全生产形势持续稳定好转，加大安全生产宣传和信息公开力度，提高全社会安全生产意识。</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检查覆盖率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、加强重大危险源安全管理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加强重大危险源的监测、监控、辨识与评估及登记建档、备案与核销等安全管理；开展重大危险源执法检查工作。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科学准确进行重大危险源等级界定；有效开展监测数据的综合分析、数据发布工作；督促企业切实加强危险源监控，有效治理隐患，落实监管责任</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专项检查次数</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4</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2</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十一、完善农村经营管理体制</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推进农村集体产权制度改革，完善农村土地承包制度，引导农村土地合理流转。创新农业经营主体。</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规范流转行为，优化资源配置，促进农民专业合作经济组织健康发展，加快新农村建设和城镇化进程</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、促进土地流转</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建设土地流转有形市场。</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指导全乡建立运转顺畅、便捷高效的农村土地承包经营权流转服务平台，带动土地流转依法、有序开展</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土地流转提高率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1.5%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1.3%</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1.1%</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、土地确权登记</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根据国家要求开展农村土地承包经营确权登记试点，并逐步向全县全面推开。</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完成全乡耕地面积</w:t>
            </w:r>
            <w:r>
              <w:rPr>
                <w:rFonts w:hint="eastAsia" w:ascii="仿宋" w:hAnsi="仿宋" w:eastAsia="仿宋" w:cs="仿宋"/>
              </w:rPr>
              <w:t>50%</w:t>
            </w:r>
            <w:r>
              <w:rPr>
                <w:rFonts w:hint="eastAsia" w:ascii="仿宋" w:hAnsi="仿宋" w:eastAsia="仿宋" w:cs="仿宋"/>
              </w:rPr>
              <w:t>的确权登记颁证目标</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农村土地承包土地确权登记颁证率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50%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45%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40%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、农村经营管理</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支持农民专业合作组织规范、健康发展。建立健全农村集体</w:t>
            </w:r>
            <w:r>
              <w:rPr>
                <w:rFonts w:hint="eastAsia" w:ascii="仿宋" w:hAnsi="仿宋" w:eastAsia="仿宋" w:cs="仿宋"/>
              </w:rPr>
              <w:t>“</w:t>
            </w:r>
            <w:r>
              <w:rPr>
                <w:rFonts w:hint="eastAsia" w:ascii="仿宋" w:hAnsi="仿宋" w:eastAsia="仿宋" w:cs="仿宋"/>
              </w:rPr>
              <w:t>三资</w:t>
            </w:r>
            <w:r>
              <w:rPr>
                <w:rFonts w:hint="eastAsia" w:ascii="仿宋" w:hAnsi="仿宋" w:eastAsia="仿宋" w:cs="仿宋"/>
              </w:rPr>
              <w:t>”</w:t>
            </w:r>
            <w:r>
              <w:rPr>
                <w:rFonts w:hint="eastAsia" w:ascii="仿宋" w:hAnsi="仿宋" w:eastAsia="仿宋" w:cs="仿宋"/>
              </w:rPr>
              <w:t>管理制度，盘活集体存量资产资源，拓宽集体增收渠道，促进农村集体资产保值增值。</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健全农村集体</w:t>
            </w:r>
            <w:r>
              <w:rPr>
                <w:rFonts w:hint="eastAsia" w:ascii="仿宋" w:hAnsi="仿宋" w:eastAsia="仿宋" w:cs="仿宋"/>
              </w:rPr>
              <w:t>“</w:t>
            </w:r>
            <w:r>
              <w:rPr>
                <w:rFonts w:hint="eastAsia" w:ascii="仿宋" w:hAnsi="仿宋" w:eastAsia="仿宋" w:cs="仿宋"/>
              </w:rPr>
              <w:t>三资</w:t>
            </w:r>
            <w:r>
              <w:rPr>
                <w:rFonts w:hint="eastAsia" w:ascii="仿宋" w:hAnsi="仿宋" w:eastAsia="仿宋" w:cs="仿宋"/>
              </w:rPr>
              <w:t>”</w:t>
            </w:r>
            <w:r>
              <w:rPr>
                <w:rFonts w:hint="eastAsia" w:ascii="仿宋" w:hAnsi="仿宋" w:eastAsia="仿宋" w:cs="仿宋"/>
              </w:rPr>
              <w:t>管理制度，指导农村经济组织健康、规范发展</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村集体经济业务规范率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十二、推进新农村建设</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通过实施农村面貌改造提升行动，加快建设社会主义新农村。</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通过实施农村面貌改造提升行动和开展新民居中心村示范点建设，加快建设社会主义新农村。改善农村环境面貌，提升农民生产生活条件。</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、农村面貌改造提升</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按照统筹城乡发展要求，以</w:t>
            </w:r>
            <w:r>
              <w:rPr>
                <w:rFonts w:hint="eastAsia" w:ascii="仿宋" w:hAnsi="仿宋" w:eastAsia="仿宋" w:cs="仿宋"/>
              </w:rPr>
              <w:t>“</w:t>
            </w:r>
            <w:r>
              <w:rPr>
                <w:rFonts w:hint="eastAsia" w:ascii="仿宋" w:hAnsi="仿宋" w:eastAsia="仿宋" w:cs="仿宋"/>
              </w:rPr>
              <w:t>保持田园风光、增加现代设施、绿化村落庭院、传承优秀文化</w:t>
            </w:r>
            <w:r>
              <w:rPr>
                <w:rFonts w:hint="eastAsia" w:ascii="仿宋" w:hAnsi="仿宋" w:eastAsia="仿宋" w:cs="仿宋"/>
              </w:rPr>
              <w:t>”</w:t>
            </w:r>
            <w:r>
              <w:rPr>
                <w:rFonts w:hint="eastAsia" w:ascii="仿宋" w:hAnsi="仿宋" w:eastAsia="仿宋" w:cs="仿宋"/>
              </w:rPr>
              <w:t>为重点，组织实施农村面貌改造提升行动。</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围绕农村改造</w:t>
            </w:r>
            <w:r>
              <w:rPr>
                <w:rFonts w:hint="eastAsia" w:ascii="仿宋" w:hAnsi="仿宋" w:eastAsia="仿宋" w:cs="仿宋"/>
              </w:rPr>
              <w:t>15</w:t>
            </w:r>
            <w:r>
              <w:rPr>
                <w:rFonts w:hint="eastAsia" w:ascii="仿宋" w:hAnsi="仿宋" w:eastAsia="仿宋" w:cs="仿宋"/>
              </w:rPr>
              <w:t>件实事，突出重点，因地制宜，开展农村面貌改造提升。按照分期分批推进的要求，每年选定一批重点村实施改造提升。</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重点村改造提升完成率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、美丽乡村建设</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按照市、区统筹城乡发展的要求，以</w:t>
            </w:r>
            <w:r>
              <w:rPr>
                <w:rFonts w:hint="eastAsia" w:ascii="仿宋" w:hAnsi="仿宋" w:eastAsia="仿宋" w:cs="仿宋"/>
              </w:rPr>
              <w:t>“</w:t>
            </w:r>
            <w:r>
              <w:rPr>
                <w:rFonts w:hint="eastAsia" w:ascii="仿宋" w:hAnsi="仿宋" w:eastAsia="仿宋" w:cs="仿宋"/>
              </w:rPr>
              <w:t>环境美、产业美、精神美、生态美</w:t>
            </w:r>
            <w:r>
              <w:rPr>
                <w:rFonts w:hint="eastAsia" w:ascii="仿宋" w:hAnsi="仿宋" w:eastAsia="仿宋" w:cs="仿宋"/>
              </w:rPr>
              <w:t>”</w:t>
            </w:r>
            <w:r>
              <w:rPr>
                <w:rFonts w:hint="eastAsia" w:ascii="仿宋" w:hAnsi="仿宋" w:eastAsia="仿宋" w:cs="仿宋"/>
              </w:rPr>
              <w:t>为重点，大力推进美丽乡村建设。</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突出重点，因地制宜，按照分期分批推进的要求，每年选定一批重点村实施改造提升。</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美丽乡村建设重点村任务完成率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村民满意度</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60%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十三、城乡建设管理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13.00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乡镇公用设施建设、安全和应急管理；落实村庄和小城镇建设政策；指导农村住房建设、住房安全和危房改造；改善小城镇和村庄人居环境。</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加强村镇建设，改善农村人居环境，实现城乡统筹发展。协调和指导推进城镇化工作，加快城镇化进程。</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、公用设施建设与管理</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13.00</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开展乡镇供水、节水、燃气、热力、市政设施、园林、污水处理、垃圾处理等设施建设，开展乡镇的绿化和生物多样性工作；组织实施城镇绿道绿廊建设；进行公用设施安全和应急管理。</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加强乡镇基础设施建设</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基础设施建设工作目标完成率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2</w:t>
            </w:r>
            <w:r>
              <w:rPr>
                <w:rFonts w:hint="eastAsia" w:ascii="仿宋" w:hAnsi="仿宋" w:eastAsia="仿宋" w:cs="仿宋"/>
                <w:b/>
              </w:rPr>
              <w:t>、推进城镇化建设</w:t>
            </w:r>
          </w:p>
        </w:tc>
        <w:tc>
          <w:tcPr>
            <w:tcW w:w="1276" w:type="dxa"/>
            <w:vMerge w:val="restart"/>
            <w:shd w:val="clear" w:color="auto" w:fill="auto"/>
            <w:noWrap w:val="0"/>
            <w:vAlign w:val="center"/>
          </w:tcPr>
          <w:p>
            <w:pPr>
              <w:spacing w:line="300" w:lineRule="exact"/>
              <w:jc w:val="left"/>
              <w:rPr>
                <w:rFonts w:hint="eastAsia" w:ascii="仿宋" w:hAnsi="仿宋" w:eastAsia="仿宋" w:cs="仿宋"/>
              </w:rPr>
            </w:pP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推进城镇建设与旧城改造，推进小城镇和集镇人居环境改善，落实推进省市重点镇的建设；做好乡镇规划、环境质量、居住水平、产业聚集、风貌特色、综合管理、乡镇建设投融资等工作，全面推进乡镇建设上水平，推进城镇化工作。</w:t>
            </w:r>
          </w:p>
        </w:tc>
        <w:tc>
          <w:tcPr>
            <w:tcW w:w="2976" w:type="dxa"/>
            <w:vMerge w:val="restart"/>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结合本年乡镇建设工作重点，结合上级对乡镇建设工作考核评价指标体系，对乡镇建设工作进行评价，结果纳入乡镇领导综合考核评价</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危房改造完成率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98%</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垃圾处理率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98%</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仿宋" w:hAnsi="仿宋" w:eastAsia="仿宋" w:cs="仿宋"/>
                <w:b/>
              </w:rPr>
            </w:pPr>
          </w:p>
        </w:tc>
        <w:tc>
          <w:tcPr>
            <w:tcW w:w="12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2976" w:type="dxa"/>
            <w:vMerge w:val="continue"/>
            <w:shd w:val="clear" w:color="auto" w:fill="auto"/>
            <w:noWrap w:val="0"/>
            <w:vAlign w:val="center"/>
          </w:tcPr>
          <w:p>
            <w:pPr>
              <w:spacing w:line="300" w:lineRule="exact"/>
              <w:jc w:val="left"/>
              <w:rPr>
                <w:rFonts w:hint="eastAsia" w:ascii="仿宋" w:hAnsi="仿宋" w:eastAsia="仿宋" w:cs="仿宋"/>
              </w:rPr>
            </w:pP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乡镇建设工作考核完成率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3</w:t>
            </w:r>
            <w:r>
              <w:rPr>
                <w:rFonts w:hint="eastAsia" w:ascii="仿宋" w:hAnsi="仿宋" w:eastAsia="仿宋" w:cs="仿宋"/>
                <w:b/>
              </w:rPr>
              <w:t>、农村环境卫生综合整治</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解决影响群众生活健康的生活饮用水、生活垃圾处理，境域内卫生清扫。</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使农村生活环境得到改善</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解决农村区域突出环境问题，使农村生活环境得到改善</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十四、义务教育</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112.86</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以农村教育为重点，推进义务教育均衡发展，建立中小学校舍安全保障机制，改善薄弱学校办学条件，促进公共教育资源向农村和经济欠发达地区倾斜。</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提高义务教育公用经费保障水平，改善办学条件，均衡配置基础教育资源，缩小城乡、区域、校际之间办学差距，落实学生资助政策。</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、改善办学条件</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112.86</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保障义务教育阶段薄弱学校基本教学条件，改善学校生活设施，办好必要的教学点，解决乡镇学校大班额问题，推进农村学校教育信息化。</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从</w:t>
            </w:r>
            <w:r>
              <w:rPr>
                <w:rFonts w:hint="eastAsia" w:ascii="仿宋" w:hAnsi="仿宋" w:eastAsia="仿宋" w:cs="仿宋"/>
              </w:rPr>
              <w:t>2014</w:t>
            </w:r>
            <w:r>
              <w:rPr>
                <w:rFonts w:hint="eastAsia" w:ascii="仿宋" w:hAnsi="仿宋" w:eastAsia="仿宋" w:cs="仿宋"/>
              </w:rPr>
              <w:t>年开始，使贫困地区农村义务教育学校教学设施和生活设施满足基本生活需要，留守儿童学习和寄宿得到基本满足，中小学和教学点能够正常运转，乡镇超大班额现象基本消除，教师数量、素质、结构基本适应教学需要</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中小学生均校舍面积</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6</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5.5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十五、环境污染综合防治</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贯彻落实大气、水体、固体废物、化学品、机动车等污染防治管理制度，开展饮用水水源地环境保护。</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加强大气、水体、机动车污染防治，加强固体废弃物、重金属等重点污染治理工程的防治工作。</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、大气污染防治</w:t>
            </w:r>
          </w:p>
        </w:tc>
        <w:tc>
          <w:tcPr>
            <w:tcW w:w="1276" w:type="dxa"/>
            <w:shd w:val="clear" w:color="auto" w:fill="auto"/>
            <w:noWrap w:val="0"/>
            <w:vAlign w:val="center"/>
          </w:tcPr>
          <w:p>
            <w:pPr>
              <w:spacing w:line="300" w:lineRule="exact"/>
              <w:jc w:val="left"/>
              <w:rPr>
                <w:rFonts w:hint="eastAsia" w:ascii="仿宋" w:hAnsi="仿宋" w:eastAsia="仿宋" w:cs="仿宋"/>
              </w:rPr>
            </w:pP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重点对</w:t>
            </w:r>
            <w:r>
              <w:rPr>
                <w:rFonts w:hint="eastAsia" w:ascii="仿宋" w:hAnsi="仿宋" w:eastAsia="仿宋" w:cs="仿宋"/>
              </w:rPr>
              <w:t>PM</w:t>
            </w:r>
            <w:r>
              <w:rPr>
                <w:rFonts w:hint="eastAsia" w:ascii="仿宋" w:hAnsi="仿宋" w:eastAsia="仿宋" w:cs="仿宋"/>
              </w:rPr>
              <w:t>、</w:t>
            </w:r>
            <w:r>
              <w:rPr>
                <w:rFonts w:hint="eastAsia" w:ascii="仿宋" w:hAnsi="仿宋" w:eastAsia="仿宋" w:cs="仿宋"/>
              </w:rPr>
              <w:t>VOC</w:t>
            </w:r>
            <w:r>
              <w:rPr>
                <w:rFonts w:hint="eastAsia" w:ascii="仿宋" w:hAnsi="仿宋" w:eastAsia="仿宋" w:cs="仿宋"/>
              </w:rPr>
              <w:t>、二氧化硫等大气污染物进行综合防治，推动城镇环境空气质量改善。</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加强大气污染防治，推动城市环境空气质量改善。</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VOC</w:t>
            </w:r>
            <w:r>
              <w:rPr>
                <w:rFonts w:hint="eastAsia" w:ascii="仿宋" w:hAnsi="仿宋" w:eastAsia="仿宋" w:cs="仿宋"/>
              </w:rPr>
              <w:t>排放消减率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100%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十六、自然生态保护</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54.29</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强化生态保护和监察监管，提高自然保护区建设水平，加强生物多样性保护力度，提升农村生态环境质量。</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加强自然生态保护。</w:t>
            </w:r>
          </w:p>
        </w:tc>
        <w:tc>
          <w:tcPr>
            <w:tcW w:w="1417" w:type="dxa"/>
            <w:shd w:val="clear" w:color="auto" w:fill="auto"/>
            <w:noWrap w:val="0"/>
            <w:vAlign w:val="center"/>
          </w:tcPr>
          <w:p>
            <w:pPr>
              <w:spacing w:line="300" w:lineRule="exact"/>
              <w:jc w:val="left"/>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c>
          <w:tcPr>
            <w:tcW w:w="737" w:type="dxa"/>
            <w:shd w:val="clear" w:color="auto" w:fill="auto"/>
            <w:noWrap w:val="0"/>
            <w:vAlign w:val="center"/>
          </w:tcPr>
          <w:p>
            <w:pPr>
              <w:spacing w:line="300" w:lineRule="exact"/>
              <w:jc w:val="center"/>
              <w:rPr>
                <w:rFonts w:hint="eastAsia" w:ascii="仿宋" w:hAnsi="仿宋" w:eastAsia="仿宋" w:cs="仿宋"/>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仿宋" w:hAnsi="仿宋" w:eastAsia="仿宋" w:cs="仿宋"/>
                <w:b/>
              </w:rPr>
            </w:pPr>
            <w:r>
              <w:rPr>
                <w:rFonts w:hint="eastAsia" w:ascii="仿宋" w:hAnsi="仿宋" w:eastAsia="仿宋" w:cs="仿宋"/>
                <w:b/>
              </w:rPr>
              <w:t>　　</w:t>
            </w:r>
            <w:r>
              <w:rPr>
                <w:rFonts w:hint="eastAsia" w:ascii="仿宋" w:hAnsi="仿宋" w:eastAsia="仿宋" w:cs="仿宋"/>
                <w:b/>
              </w:rPr>
              <w:t>1</w:t>
            </w:r>
            <w:r>
              <w:rPr>
                <w:rFonts w:hint="eastAsia" w:ascii="仿宋" w:hAnsi="仿宋" w:eastAsia="仿宋" w:cs="仿宋"/>
                <w:b/>
              </w:rPr>
              <w:t>、农村环境综合整治</w:t>
            </w:r>
          </w:p>
        </w:tc>
        <w:tc>
          <w:tcPr>
            <w:tcW w:w="12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54.29</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解决影响群众生活和健康较为直接的饮用水安全保障、生活垃圾和污水治理、畜禽养殖污染治理防治等突出环境问题，改善环境重点、敏感区域的农村人居和生态环境质量。</w:t>
            </w:r>
          </w:p>
        </w:tc>
        <w:tc>
          <w:tcPr>
            <w:tcW w:w="2976"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解决农村区域性突出环境问题</w:t>
            </w:r>
          </w:p>
        </w:tc>
        <w:tc>
          <w:tcPr>
            <w:tcW w:w="1417" w:type="dxa"/>
            <w:shd w:val="clear" w:color="auto" w:fill="auto"/>
            <w:noWrap w:val="0"/>
            <w:vAlign w:val="center"/>
          </w:tcPr>
          <w:p>
            <w:pPr>
              <w:spacing w:line="300" w:lineRule="exact"/>
              <w:jc w:val="left"/>
              <w:rPr>
                <w:rFonts w:hint="eastAsia" w:ascii="仿宋" w:hAnsi="仿宋" w:eastAsia="仿宋" w:cs="仿宋"/>
              </w:rPr>
            </w:pPr>
            <w:r>
              <w:rPr>
                <w:rFonts w:hint="eastAsia" w:ascii="仿宋" w:hAnsi="仿宋" w:eastAsia="仿宋" w:cs="仿宋"/>
              </w:rPr>
              <w:t>试点、示范区域村庄污水处理率</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90%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85%</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c>
          <w:tcPr>
            <w:tcW w:w="737" w:type="dxa"/>
            <w:shd w:val="clear" w:color="auto" w:fill="auto"/>
            <w:noWrap w:val="0"/>
            <w:vAlign w:val="center"/>
          </w:tcPr>
          <w:p>
            <w:pPr>
              <w:spacing w:line="300" w:lineRule="exact"/>
              <w:jc w:val="center"/>
              <w:rPr>
                <w:rFonts w:hint="eastAsia" w:ascii="仿宋" w:hAnsi="仿宋" w:eastAsia="仿宋" w:cs="仿宋"/>
              </w:rPr>
            </w:pPr>
            <w:r>
              <w:rPr>
                <w:rFonts w:hint="eastAsia" w:ascii="仿宋" w:hAnsi="仿宋" w:eastAsia="仿宋" w:cs="仿宋"/>
              </w:rPr>
              <w:t>＜</w:t>
            </w:r>
            <w:r>
              <w:rPr>
                <w:rFonts w:hint="eastAsia" w:ascii="仿宋" w:hAnsi="仿宋" w:eastAsia="仿宋" w:cs="仿宋"/>
              </w:rPr>
              <w:t>70%</w:t>
            </w:r>
          </w:p>
        </w:tc>
      </w:tr>
    </w:tbl>
    <w:p>
      <w:pPr>
        <w:spacing w:line="300" w:lineRule="exact"/>
        <w:jc w:val="left"/>
        <w:outlineLvl w:val="0"/>
        <w:rPr>
          <w:rFonts w:hint="eastAsia" w:ascii="仿宋" w:hAnsi="仿宋" w:eastAsia="仿宋" w:cs="仿宋"/>
        </w:rPr>
        <w:sectPr>
          <w:pgSz w:w="16839" w:h="11907" w:orient="landscape"/>
          <w:pgMar w:top="1020" w:right="1361" w:bottom="1020" w:left="1361" w:header="851" w:footer="992" w:gutter="0"/>
          <w:cols w:space="425" w:num="1"/>
          <w:docGrid w:type="lines" w:linePitch="312" w:charSpace="0"/>
        </w:sectPr>
      </w:pPr>
    </w:p>
    <w:p>
      <w:pPr>
        <w:autoSpaceDE w:val="0"/>
        <w:autoSpaceDN w:val="0"/>
        <w:adjustRightInd w:val="0"/>
        <w:ind w:firstLine="640" w:firstLineChars="200"/>
        <w:jc w:val="left"/>
        <w:rPr>
          <w:rFonts w:hint="eastAsia" w:ascii="仿宋" w:hAnsi="仿宋" w:eastAsia="仿宋" w:cs="仿宋"/>
          <w:sz w:val="32"/>
          <w:szCs w:val="32"/>
        </w:rPr>
      </w:pPr>
    </w:p>
    <w:p>
      <w:pPr>
        <w:autoSpaceDE w:val="0"/>
        <w:autoSpaceDN w:val="0"/>
        <w:adjustRightInd w:val="0"/>
        <w:ind w:firstLine="643" w:firstLineChars="200"/>
        <w:jc w:val="left"/>
        <w:rPr>
          <w:rFonts w:hint="eastAsia" w:ascii="仿宋" w:hAnsi="仿宋" w:eastAsia="仿宋" w:cs="仿宋"/>
          <w:b/>
          <w:bCs/>
          <w:sz w:val="32"/>
          <w:szCs w:val="32"/>
        </w:rPr>
      </w:pPr>
      <w:r>
        <w:rPr>
          <w:rFonts w:hint="eastAsia" w:ascii="仿宋" w:hAnsi="仿宋" w:eastAsia="仿宋" w:cs="仿宋"/>
          <w:b/>
          <w:bCs/>
          <w:sz w:val="32"/>
          <w:szCs w:val="32"/>
        </w:rPr>
        <w:t>六、政府采购预算情况</w:t>
      </w:r>
    </w:p>
    <w:p>
      <w:pPr>
        <w:outlineLvl w:val="0"/>
        <w:rPr>
          <w:rFonts w:hint="eastAsia" w:ascii="仿宋" w:hAnsi="仿宋" w:eastAsia="仿宋" w:cs="仿宋"/>
          <w:sz w:val="32"/>
          <w:szCs w:val="32"/>
        </w:rPr>
      </w:pPr>
      <w:bookmarkStart w:id="2" w:name="_Toc471398468"/>
      <w:r>
        <w:rPr>
          <w:rFonts w:hint="eastAsia" w:ascii="仿宋" w:hAnsi="仿宋" w:eastAsia="仿宋" w:cs="仿宋"/>
          <w:sz w:val="32"/>
          <w:szCs w:val="24"/>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镇</w:t>
      </w:r>
      <w:r>
        <w:rPr>
          <w:rFonts w:hint="eastAsia" w:ascii="仿宋" w:hAnsi="仿宋" w:eastAsia="仿宋" w:cs="仿宋"/>
          <w:sz w:val="32"/>
          <w:szCs w:val="32"/>
        </w:rPr>
        <w:t>安排政府采购预算</w:t>
      </w:r>
      <w:r>
        <w:rPr>
          <w:rFonts w:hint="eastAsia" w:ascii="仿宋" w:hAnsi="仿宋" w:eastAsia="仿宋" w:cs="仿宋"/>
          <w:sz w:val="32"/>
          <w:szCs w:val="32"/>
          <w:lang w:val="en-US" w:eastAsia="zh-CN"/>
        </w:rPr>
        <w:t>75</w:t>
      </w:r>
      <w:r>
        <w:rPr>
          <w:rFonts w:hint="eastAsia" w:ascii="仿宋" w:hAnsi="仿宋" w:eastAsia="仿宋" w:cs="仿宋"/>
          <w:sz w:val="32"/>
          <w:szCs w:val="32"/>
        </w:rPr>
        <w:t>万元。具体内容见下表。</w:t>
      </w:r>
    </w:p>
    <w:bookmarkEnd w:id="2"/>
    <w:p>
      <w:pPr>
        <w:jc w:val="center"/>
        <w:outlineLvl w:val="0"/>
        <w:rPr>
          <w:rFonts w:hint="eastAsia" w:ascii="仿宋" w:hAnsi="仿宋" w:eastAsia="仿宋" w:cs="仿宋"/>
          <w:sz w:val="32"/>
        </w:rPr>
      </w:pPr>
      <w:bookmarkStart w:id="3" w:name="_Toc2538822"/>
      <w:r>
        <w:rPr>
          <w:rFonts w:hint="eastAsia" w:ascii="仿宋" w:hAnsi="仿宋" w:eastAsia="仿宋" w:cs="仿宋"/>
          <w:sz w:val="32"/>
        </w:rPr>
        <w:t>部门政府采购预算</w:t>
      </w:r>
      <w:bookmarkEnd w:id="3"/>
    </w:p>
    <w:tbl>
      <w:tblPr>
        <w:tblStyle w:val="8"/>
        <w:tblW w:w="1456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48"/>
        <w:gridCol w:w="1099"/>
        <w:gridCol w:w="974"/>
        <w:gridCol w:w="986"/>
        <w:gridCol w:w="760"/>
        <w:gridCol w:w="760"/>
        <w:gridCol w:w="848"/>
        <w:gridCol w:w="961"/>
        <w:gridCol w:w="961"/>
        <w:gridCol w:w="961"/>
        <w:gridCol w:w="961"/>
        <w:gridCol w:w="964"/>
        <w:gridCol w:w="964"/>
        <w:gridCol w:w="9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75"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hint="eastAsia" w:ascii="仿宋" w:hAnsi="仿宋" w:eastAsia="仿宋" w:cs="仿宋"/>
                <w:sz w:val="24"/>
              </w:rPr>
            </w:pPr>
            <w:r>
              <w:rPr>
                <w:rFonts w:hint="eastAsia" w:ascii="仿宋" w:hAnsi="仿宋" w:eastAsia="仿宋" w:cs="仿宋"/>
                <w:sz w:val="24"/>
              </w:rPr>
              <w:t>820</w:t>
            </w:r>
            <w:r>
              <w:rPr>
                <w:rFonts w:hint="eastAsia" w:ascii="仿宋" w:hAnsi="仿宋" w:eastAsia="仿宋" w:cs="仿宋"/>
                <w:sz w:val="24"/>
              </w:rPr>
              <w:t>石家庄市鹿泉区黄壁庄镇人民政府</w:t>
            </w:r>
          </w:p>
        </w:tc>
        <w:tc>
          <w:tcPr>
            <w:tcW w:w="6693"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hint="eastAsia" w:ascii="仿宋" w:hAnsi="仿宋" w:eastAsia="仿宋" w:cs="仿宋"/>
                <w:sz w:val="24"/>
              </w:rPr>
            </w:pPr>
            <w:r>
              <w:rPr>
                <w:rFonts w:hint="eastAsia" w:ascii="仿宋" w:hAnsi="仿宋" w:eastAsia="仿宋" w:cs="仿宋"/>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547" w:type="dxa"/>
            <w:gridSpan w:val="2"/>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政府采购项目来源</w:t>
            </w:r>
          </w:p>
        </w:tc>
        <w:tc>
          <w:tcPr>
            <w:tcW w:w="974"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采购物品名称</w:t>
            </w:r>
          </w:p>
        </w:tc>
        <w:tc>
          <w:tcPr>
            <w:tcW w:w="986"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政府采购目录序号</w:t>
            </w:r>
          </w:p>
        </w:tc>
        <w:tc>
          <w:tcPr>
            <w:tcW w:w="760"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数量  单位</w:t>
            </w:r>
          </w:p>
        </w:tc>
        <w:tc>
          <w:tcPr>
            <w:tcW w:w="760"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数量</w:t>
            </w:r>
          </w:p>
        </w:tc>
        <w:tc>
          <w:tcPr>
            <w:tcW w:w="848"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单价</w:t>
            </w:r>
          </w:p>
        </w:tc>
        <w:tc>
          <w:tcPr>
            <w:tcW w:w="6693" w:type="dxa"/>
            <w:gridSpan w:val="7"/>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项目名称</w:t>
            </w:r>
          </w:p>
        </w:tc>
        <w:tc>
          <w:tcPr>
            <w:tcW w:w="1099"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预算资金</w:t>
            </w:r>
          </w:p>
        </w:tc>
        <w:tc>
          <w:tcPr>
            <w:tcW w:w="974"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86"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760"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760"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848"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61"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总计</w:t>
            </w:r>
          </w:p>
        </w:tc>
        <w:tc>
          <w:tcPr>
            <w:tcW w:w="4811" w:type="dxa"/>
            <w:gridSpan w:val="5"/>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当年部门预算安排资金</w:t>
            </w:r>
          </w:p>
        </w:tc>
        <w:tc>
          <w:tcPr>
            <w:tcW w:w="921" w:type="dxa"/>
            <w:vMerge w:val="restart"/>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1099"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74"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86"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760"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760"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848"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61"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c>
          <w:tcPr>
            <w:tcW w:w="961"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合计</w:t>
            </w:r>
          </w:p>
        </w:tc>
        <w:tc>
          <w:tcPr>
            <w:tcW w:w="961"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一般公共预算拨款</w:t>
            </w:r>
          </w:p>
        </w:tc>
        <w:tc>
          <w:tcPr>
            <w:tcW w:w="961"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基金预算拨款</w:t>
            </w:r>
          </w:p>
        </w:tc>
        <w:tc>
          <w:tcPr>
            <w:tcW w:w="964"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财政专户核拨</w:t>
            </w:r>
          </w:p>
        </w:tc>
        <w:tc>
          <w:tcPr>
            <w:tcW w:w="964"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其他来源收入</w:t>
            </w:r>
          </w:p>
        </w:tc>
        <w:tc>
          <w:tcPr>
            <w:tcW w:w="921" w:type="dxa"/>
            <w:vMerge w:val="continue"/>
            <w:shd w:val="clear" w:color="auto" w:fill="auto"/>
            <w:noWrap w:val="0"/>
            <w:vAlign w:val="center"/>
          </w:tcPr>
          <w:p>
            <w:pPr>
              <w:spacing w:line="300" w:lineRule="exact"/>
              <w:jc w:val="left"/>
              <w:outlineLvl w:val="0"/>
              <w:rPr>
                <w:rFonts w:hint="eastAsia" w:ascii="仿宋" w:hAnsi="仿宋" w:eastAsia="仿宋" w:cs="仿宋"/>
                <w:b w:val="0"/>
                <w:bC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合　计</w:t>
            </w:r>
          </w:p>
        </w:tc>
        <w:tc>
          <w:tcPr>
            <w:tcW w:w="1099" w:type="dxa"/>
            <w:shd w:val="clear" w:color="auto" w:fill="auto"/>
            <w:noWrap w:val="0"/>
            <w:vAlign w:val="center"/>
          </w:tcPr>
          <w:p>
            <w:pPr>
              <w:spacing w:line="300" w:lineRule="exact"/>
              <w:jc w:val="right"/>
              <w:rPr>
                <w:rFonts w:hint="eastAsia" w:ascii="仿宋" w:hAnsi="仿宋" w:eastAsia="仿宋" w:cs="仿宋"/>
                <w:b w:val="0"/>
                <w:bCs/>
              </w:rPr>
            </w:pPr>
          </w:p>
        </w:tc>
        <w:tc>
          <w:tcPr>
            <w:tcW w:w="974" w:type="dxa"/>
            <w:shd w:val="clear" w:color="auto" w:fill="auto"/>
            <w:noWrap w:val="0"/>
            <w:vAlign w:val="center"/>
          </w:tcPr>
          <w:p>
            <w:pPr>
              <w:spacing w:line="300" w:lineRule="exact"/>
              <w:jc w:val="left"/>
              <w:rPr>
                <w:rFonts w:hint="eastAsia" w:ascii="仿宋" w:hAnsi="仿宋" w:eastAsia="仿宋" w:cs="仿宋"/>
                <w:b w:val="0"/>
                <w:bCs/>
              </w:rPr>
            </w:pPr>
          </w:p>
        </w:tc>
        <w:tc>
          <w:tcPr>
            <w:tcW w:w="986" w:type="dxa"/>
            <w:shd w:val="clear" w:color="auto" w:fill="auto"/>
            <w:noWrap w:val="0"/>
            <w:vAlign w:val="center"/>
          </w:tcPr>
          <w:p>
            <w:pPr>
              <w:spacing w:line="300" w:lineRule="exact"/>
              <w:jc w:val="left"/>
              <w:rPr>
                <w:rFonts w:hint="eastAsia" w:ascii="仿宋" w:hAnsi="仿宋" w:eastAsia="仿宋" w:cs="仿宋"/>
                <w:b w:val="0"/>
                <w:bCs/>
              </w:rPr>
            </w:pPr>
          </w:p>
        </w:tc>
        <w:tc>
          <w:tcPr>
            <w:tcW w:w="760" w:type="dxa"/>
            <w:shd w:val="clear" w:color="auto" w:fill="auto"/>
            <w:noWrap w:val="0"/>
            <w:vAlign w:val="center"/>
          </w:tcPr>
          <w:p>
            <w:pPr>
              <w:spacing w:line="300" w:lineRule="exact"/>
              <w:jc w:val="left"/>
              <w:rPr>
                <w:rFonts w:hint="eastAsia" w:ascii="仿宋" w:hAnsi="仿宋" w:eastAsia="仿宋" w:cs="仿宋"/>
                <w:b w:val="0"/>
                <w:bCs/>
              </w:rPr>
            </w:pPr>
          </w:p>
        </w:tc>
        <w:tc>
          <w:tcPr>
            <w:tcW w:w="760" w:type="dxa"/>
            <w:shd w:val="clear" w:color="auto" w:fill="auto"/>
            <w:noWrap w:val="0"/>
            <w:vAlign w:val="center"/>
          </w:tcPr>
          <w:p>
            <w:pPr>
              <w:spacing w:line="300" w:lineRule="exact"/>
              <w:jc w:val="right"/>
              <w:rPr>
                <w:rFonts w:hint="eastAsia" w:ascii="仿宋" w:hAnsi="仿宋" w:eastAsia="仿宋" w:cs="仿宋"/>
                <w:b w:val="0"/>
                <w:bCs/>
              </w:rPr>
            </w:pPr>
          </w:p>
        </w:tc>
        <w:tc>
          <w:tcPr>
            <w:tcW w:w="848" w:type="dxa"/>
            <w:shd w:val="clear" w:color="auto" w:fill="auto"/>
            <w:noWrap w:val="0"/>
            <w:vAlign w:val="center"/>
          </w:tcPr>
          <w:p>
            <w:pPr>
              <w:spacing w:line="300" w:lineRule="exact"/>
              <w:jc w:val="right"/>
              <w:rPr>
                <w:rFonts w:hint="eastAsia" w:ascii="仿宋" w:hAnsi="仿宋" w:eastAsia="仿宋" w:cs="仿宋"/>
                <w:b w:val="0"/>
                <w:bCs/>
              </w:rPr>
            </w:pP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21" w:type="dxa"/>
            <w:shd w:val="clear" w:color="auto" w:fill="auto"/>
            <w:noWrap w:val="0"/>
            <w:vAlign w:val="center"/>
          </w:tcPr>
          <w:p>
            <w:pPr>
              <w:spacing w:line="300" w:lineRule="exact"/>
              <w:jc w:val="right"/>
              <w:rPr>
                <w:rFonts w:hint="eastAsia" w:ascii="仿宋" w:hAnsi="仿宋" w:eastAsia="仿宋" w:cs="仿宋"/>
                <w:b w:val="0"/>
                <w:bC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jc w:val="center"/>
        </w:trPr>
        <w:tc>
          <w:tcPr>
            <w:tcW w:w="2448" w:type="dxa"/>
            <w:shd w:val="clear" w:color="auto" w:fill="auto"/>
            <w:noWrap w:val="0"/>
            <w:vAlign w:val="center"/>
          </w:tcPr>
          <w:p>
            <w:pPr>
              <w:spacing w:line="300" w:lineRule="exact"/>
              <w:jc w:val="center"/>
              <w:rPr>
                <w:rFonts w:hint="eastAsia" w:ascii="仿宋" w:hAnsi="仿宋" w:eastAsia="仿宋" w:cs="仿宋"/>
                <w:b w:val="0"/>
                <w:bCs/>
              </w:rPr>
            </w:pPr>
            <w:r>
              <w:rPr>
                <w:rFonts w:hint="eastAsia" w:ascii="仿宋" w:hAnsi="仿宋" w:eastAsia="仿宋" w:cs="仿宋"/>
                <w:b w:val="0"/>
                <w:bCs/>
              </w:rPr>
              <w:t>石家庄市鹿泉区黄壁庄镇人民政府小计</w:t>
            </w:r>
          </w:p>
        </w:tc>
        <w:tc>
          <w:tcPr>
            <w:tcW w:w="1099" w:type="dxa"/>
            <w:shd w:val="clear" w:color="auto" w:fill="auto"/>
            <w:noWrap w:val="0"/>
            <w:vAlign w:val="center"/>
          </w:tcPr>
          <w:p>
            <w:pPr>
              <w:spacing w:line="300" w:lineRule="exact"/>
              <w:jc w:val="right"/>
              <w:rPr>
                <w:rFonts w:hint="eastAsia" w:ascii="仿宋" w:hAnsi="仿宋" w:eastAsia="仿宋" w:cs="仿宋"/>
                <w:b w:val="0"/>
                <w:bCs/>
              </w:rPr>
            </w:pPr>
          </w:p>
        </w:tc>
        <w:tc>
          <w:tcPr>
            <w:tcW w:w="974" w:type="dxa"/>
            <w:shd w:val="clear" w:color="auto" w:fill="auto"/>
            <w:noWrap w:val="0"/>
            <w:vAlign w:val="center"/>
          </w:tcPr>
          <w:p>
            <w:pPr>
              <w:spacing w:line="300" w:lineRule="exact"/>
              <w:jc w:val="left"/>
              <w:rPr>
                <w:rFonts w:hint="eastAsia" w:ascii="仿宋" w:hAnsi="仿宋" w:eastAsia="仿宋" w:cs="仿宋"/>
                <w:b w:val="0"/>
                <w:bCs/>
              </w:rPr>
            </w:pPr>
          </w:p>
        </w:tc>
        <w:tc>
          <w:tcPr>
            <w:tcW w:w="986" w:type="dxa"/>
            <w:shd w:val="clear" w:color="auto" w:fill="auto"/>
            <w:noWrap w:val="0"/>
            <w:vAlign w:val="center"/>
          </w:tcPr>
          <w:p>
            <w:pPr>
              <w:spacing w:line="300" w:lineRule="exact"/>
              <w:jc w:val="left"/>
              <w:rPr>
                <w:rFonts w:hint="eastAsia" w:ascii="仿宋" w:hAnsi="仿宋" w:eastAsia="仿宋" w:cs="仿宋"/>
                <w:b w:val="0"/>
                <w:bCs/>
              </w:rPr>
            </w:pPr>
          </w:p>
        </w:tc>
        <w:tc>
          <w:tcPr>
            <w:tcW w:w="760" w:type="dxa"/>
            <w:shd w:val="clear" w:color="auto" w:fill="auto"/>
            <w:noWrap w:val="0"/>
            <w:vAlign w:val="center"/>
          </w:tcPr>
          <w:p>
            <w:pPr>
              <w:spacing w:line="300" w:lineRule="exact"/>
              <w:jc w:val="left"/>
              <w:rPr>
                <w:rFonts w:hint="eastAsia" w:ascii="仿宋" w:hAnsi="仿宋" w:eastAsia="仿宋" w:cs="仿宋"/>
                <w:b w:val="0"/>
                <w:bCs/>
              </w:rPr>
            </w:pPr>
          </w:p>
        </w:tc>
        <w:tc>
          <w:tcPr>
            <w:tcW w:w="760" w:type="dxa"/>
            <w:shd w:val="clear" w:color="auto" w:fill="auto"/>
            <w:noWrap w:val="0"/>
            <w:vAlign w:val="center"/>
          </w:tcPr>
          <w:p>
            <w:pPr>
              <w:spacing w:line="300" w:lineRule="exact"/>
              <w:jc w:val="right"/>
              <w:rPr>
                <w:rFonts w:hint="eastAsia" w:ascii="仿宋" w:hAnsi="仿宋" w:eastAsia="仿宋" w:cs="仿宋"/>
                <w:b w:val="0"/>
                <w:bCs/>
              </w:rPr>
            </w:pPr>
          </w:p>
        </w:tc>
        <w:tc>
          <w:tcPr>
            <w:tcW w:w="848" w:type="dxa"/>
            <w:shd w:val="clear" w:color="auto" w:fill="auto"/>
            <w:noWrap w:val="0"/>
            <w:vAlign w:val="center"/>
          </w:tcPr>
          <w:p>
            <w:pPr>
              <w:spacing w:line="300" w:lineRule="exact"/>
              <w:jc w:val="right"/>
              <w:rPr>
                <w:rFonts w:hint="eastAsia" w:ascii="仿宋" w:hAnsi="仿宋" w:eastAsia="仿宋" w:cs="仿宋"/>
                <w:b w:val="0"/>
                <w:bCs/>
              </w:rPr>
            </w:pP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21" w:type="dxa"/>
            <w:shd w:val="clear" w:color="auto" w:fill="auto"/>
            <w:noWrap w:val="0"/>
            <w:vAlign w:val="center"/>
          </w:tcPr>
          <w:p>
            <w:pPr>
              <w:spacing w:line="300" w:lineRule="exact"/>
              <w:jc w:val="right"/>
              <w:rPr>
                <w:rFonts w:hint="eastAsia" w:ascii="仿宋" w:hAnsi="仿宋" w:eastAsia="仿宋" w:cs="仿宋"/>
                <w:b w:val="0"/>
                <w:bC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left"/>
              <w:rPr>
                <w:rFonts w:hint="eastAsia" w:ascii="仿宋" w:hAnsi="仿宋" w:eastAsia="仿宋" w:cs="仿宋"/>
                <w:b w:val="0"/>
                <w:bCs/>
              </w:rPr>
            </w:pPr>
            <w:r>
              <w:rPr>
                <w:rFonts w:hint="eastAsia" w:ascii="仿宋" w:hAnsi="仿宋" w:eastAsia="仿宋" w:cs="仿宋"/>
                <w:b w:val="0"/>
                <w:bCs/>
              </w:rPr>
              <w:t>更换采暖锅炉</w:t>
            </w:r>
          </w:p>
        </w:tc>
        <w:tc>
          <w:tcPr>
            <w:tcW w:w="1099"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74" w:type="dxa"/>
            <w:shd w:val="clear" w:color="auto" w:fill="auto"/>
            <w:noWrap w:val="0"/>
            <w:vAlign w:val="center"/>
          </w:tcPr>
          <w:p>
            <w:pPr>
              <w:spacing w:line="300" w:lineRule="exact"/>
              <w:jc w:val="left"/>
              <w:rPr>
                <w:rFonts w:hint="eastAsia" w:ascii="仿宋" w:hAnsi="仿宋" w:eastAsia="仿宋" w:cs="仿宋"/>
                <w:b w:val="0"/>
                <w:bCs/>
              </w:rPr>
            </w:pPr>
            <w:r>
              <w:rPr>
                <w:rFonts w:hint="eastAsia" w:ascii="仿宋" w:hAnsi="仿宋" w:eastAsia="仿宋" w:cs="仿宋"/>
                <w:b w:val="0"/>
                <w:bCs/>
              </w:rPr>
              <w:t>锅炉</w:t>
            </w:r>
          </w:p>
        </w:tc>
        <w:tc>
          <w:tcPr>
            <w:tcW w:w="986" w:type="dxa"/>
            <w:shd w:val="clear" w:color="auto" w:fill="auto"/>
            <w:noWrap w:val="0"/>
            <w:vAlign w:val="center"/>
          </w:tcPr>
          <w:p>
            <w:pPr>
              <w:spacing w:line="300" w:lineRule="exact"/>
              <w:jc w:val="left"/>
              <w:rPr>
                <w:rFonts w:hint="eastAsia" w:ascii="仿宋" w:hAnsi="仿宋" w:eastAsia="仿宋" w:cs="仿宋"/>
                <w:b w:val="0"/>
                <w:bCs/>
              </w:rPr>
            </w:pPr>
            <w:r>
              <w:rPr>
                <w:rFonts w:hint="eastAsia" w:ascii="仿宋" w:hAnsi="仿宋" w:eastAsia="仿宋" w:cs="仿宋"/>
                <w:b w:val="0"/>
                <w:bCs/>
              </w:rPr>
              <w:t>A020504</w:t>
            </w:r>
          </w:p>
        </w:tc>
        <w:tc>
          <w:tcPr>
            <w:tcW w:w="760" w:type="dxa"/>
            <w:shd w:val="clear" w:color="auto" w:fill="auto"/>
            <w:noWrap w:val="0"/>
            <w:vAlign w:val="center"/>
          </w:tcPr>
          <w:p>
            <w:pPr>
              <w:spacing w:line="300" w:lineRule="exact"/>
              <w:jc w:val="left"/>
              <w:rPr>
                <w:rFonts w:hint="eastAsia" w:ascii="仿宋" w:hAnsi="仿宋" w:eastAsia="仿宋" w:cs="仿宋"/>
                <w:b w:val="0"/>
                <w:bCs/>
              </w:rPr>
            </w:pPr>
            <w:r>
              <w:rPr>
                <w:rFonts w:hint="eastAsia" w:ascii="仿宋" w:hAnsi="仿宋" w:eastAsia="仿宋" w:cs="仿宋"/>
                <w:b w:val="0"/>
                <w:bCs/>
              </w:rPr>
              <w:t>套</w:t>
            </w:r>
          </w:p>
        </w:tc>
        <w:tc>
          <w:tcPr>
            <w:tcW w:w="760"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1.00</w:t>
            </w:r>
          </w:p>
        </w:tc>
        <w:tc>
          <w:tcPr>
            <w:tcW w:w="848"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r>
              <w:rPr>
                <w:rFonts w:hint="eastAsia" w:ascii="仿宋" w:hAnsi="仿宋" w:eastAsia="仿宋" w:cs="仿宋"/>
                <w:b w:val="0"/>
                <w:bCs/>
              </w:rPr>
              <w:t>75.00</w:t>
            </w:r>
          </w:p>
        </w:tc>
        <w:tc>
          <w:tcPr>
            <w:tcW w:w="961"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64" w:type="dxa"/>
            <w:shd w:val="clear" w:color="auto" w:fill="auto"/>
            <w:noWrap w:val="0"/>
            <w:vAlign w:val="center"/>
          </w:tcPr>
          <w:p>
            <w:pPr>
              <w:spacing w:line="300" w:lineRule="exact"/>
              <w:jc w:val="right"/>
              <w:rPr>
                <w:rFonts w:hint="eastAsia" w:ascii="仿宋" w:hAnsi="仿宋" w:eastAsia="仿宋" w:cs="仿宋"/>
                <w:b w:val="0"/>
                <w:bCs/>
              </w:rPr>
            </w:pPr>
          </w:p>
        </w:tc>
        <w:tc>
          <w:tcPr>
            <w:tcW w:w="921" w:type="dxa"/>
            <w:shd w:val="clear" w:color="auto" w:fill="auto"/>
            <w:noWrap w:val="0"/>
            <w:vAlign w:val="center"/>
          </w:tcPr>
          <w:p>
            <w:pPr>
              <w:spacing w:line="300" w:lineRule="exact"/>
              <w:jc w:val="right"/>
              <w:rPr>
                <w:rFonts w:hint="eastAsia" w:ascii="仿宋" w:hAnsi="仿宋" w:eastAsia="仿宋" w:cs="仿宋"/>
                <w:b w:val="0"/>
                <w:bCs/>
              </w:rPr>
            </w:pPr>
          </w:p>
        </w:tc>
      </w:tr>
    </w:tbl>
    <w:p>
      <w:pPr>
        <w:spacing w:line="300" w:lineRule="exact"/>
        <w:jc w:val="left"/>
        <w:outlineLvl w:val="0"/>
        <w:rPr>
          <w:rFonts w:hint="eastAsia" w:ascii="仿宋" w:hAnsi="仿宋" w:eastAsia="仿宋" w:cs="仿宋"/>
        </w:rPr>
        <w:sectPr>
          <w:pgSz w:w="16839" w:h="11907" w:orient="landscape"/>
          <w:pgMar w:top="1361" w:right="1020" w:bottom="1361" w:left="1020" w:header="851" w:footer="992" w:gutter="0"/>
          <w:cols w:space="425" w:num="1"/>
          <w:docGrid w:type="lines" w:linePitch="312" w:charSpace="0"/>
        </w:sectPr>
      </w:pPr>
    </w:p>
    <w:p>
      <w:pPr>
        <w:autoSpaceDE w:val="0"/>
        <w:autoSpaceDN w:val="0"/>
        <w:adjustRightInd w:val="0"/>
        <w:jc w:val="left"/>
        <w:rPr>
          <w:rFonts w:hint="eastAsia" w:ascii="仿宋" w:hAnsi="仿宋" w:eastAsia="仿宋" w:cs="仿宋"/>
          <w:b/>
          <w:bCs/>
          <w:sz w:val="32"/>
          <w:szCs w:val="32"/>
        </w:rPr>
      </w:pPr>
      <w:r>
        <w:rPr>
          <w:rFonts w:hint="eastAsia" w:ascii="仿宋" w:hAnsi="仿宋" w:eastAsia="仿宋" w:cs="仿宋"/>
          <w:b/>
          <w:bCs/>
          <w:sz w:val="32"/>
          <w:szCs w:val="32"/>
        </w:rPr>
        <w:t>七、国有资产信息</w:t>
      </w:r>
    </w:p>
    <w:p>
      <w:pPr>
        <w:ind w:firstLine="640" w:firstLineChars="200"/>
        <w:outlineLvl w:val="0"/>
        <w:rPr>
          <w:rFonts w:hint="eastAsia" w:ascii="仿宋" w:hAnsi="仿宋" w:eastAsia="仿宋" w:cs="仿宋"/>
          <w:sz w:val="32"/>
          <w:szCs w:val="32"/>
        </w:rPr>
      </w:pP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年初固定资产</w:t>
      </w:r>
      <w:r>
        <w:rPr>
          <w:rFonts w:hint="eastAsia" w:ascii="仿宋" w:hAnsi="仿宋" w:eastAsia="仿宋" w:cs="仿宋"/>
          <w:sz w:val="32"/>
          <w:szCs w:val="32"/>
          <w:lang w:val="en-US" w:eastAsia="zh-CN"/>
        </w:rPr>
        <w:t>930.32</w:t>
      </w:r>
      <w:r>
        <w:rPr>
          <w:rFonts w:hint="eastAsia" w:ascii="仿宋" w:hAnsi="仿宋" w:eastAsia="仿宋" w:cs="仿宋"/>
          <w:sz w:val="32"/>
          <w:szCs w:val="32"/>
        </w:rPr>
        <w:t xml:space="preserve"> 万元，201</w:t>
      </w:r>
      <w:r>
        <w:rPr>
          <w:rFonts w:hint="eastAsia" w:ascii="仿宋" w:hAnsi="仿宋" w:eastAsia="仿宋" w:cs="仿宋"/>
          <w:sz w:val="32"/>
          <w:szCs w:val="32"/>
          <w:lang w:val="en-US" w:eastAsia="zh-CN"/>
        </w:rPr>
        <w:t>8</w:t>
      </w:r>
      <w:r>
        <w:rPr>
          <w:rFonts w:hint="eastAsia" w:ascii="仿宋" w:hAnsi="仿宋" w:eastAsia="仿宋" w:cs="仿宋"/>
          <w:sz w:val="32"/>
          <w:szCs w:val="32"/>
        </w:rPr>
        <w:t>年末固定资产</w:t>
      </w:r>
      <w:r>
        <w:rPr>
          <w:rFonts w:hint="eastAsia" w:ascii="仿宋" w:hAnsi="仿宋" w:eastAsia="仿宋" w:cs="仿宋"/>
          <w:sz w:val="32"/>
          <w:szCs w:val="32"/>
          <w:lang w:val="en-US" w:eastAsia="zh-CN"/>
        </w:rPr>
        <w:t>939.62</w:t>
      </w:r>
      <w:r>
        <w:rPr>
          <w:rFonts w:hint="eastAsia" w:ascii="仿宋" w:hAnsi="仿宋" w:eastAsia="仿宋" w:cs="仿宋"/>
          <w:sz w:val="32"/>
          <w:szCs w:val="32"/>
        </w:rPr>
        <w:t xml:space="preserve">万元。其中：房屋 </w:t>
      </w:r>
      <w:r>
        <w:rPr>
          <w:rFonts w:hint="eastAsia" w:ascii="仿宋" w:hAnsi="仿宋" w:eastAsia="仿宋" w:cs="仿宋"/>
          <w:sz w:val="32"/>
          <w:szCs w:val="32"/>
          <w:lang w:val="en-US" w:eastAsia="zh-CN"/>
        </w:rPr>
        <w:t>775.95</w:t>
      </w:r>
      <w:r>
        <w:rPr>
          <w:rFonts w:hint="eastAsia" w:ascii="仿宋" w:hAnsi="仿宋" w:eastAsia="仿宋" w:cs="仿宋"/>
          <w:sz w:val="32"/>
          <w:szCs w:val="32"/>
        </w:rPr>
        <w:t xml:space="preserve"> 万元、汽车</w:t>
      </w:r>
      <w:r>
        <w:rPr>
          <w:rFonts w:hint="eastAsia" w:ascii="仿宋" w:hAnsi="仿宋" w:eastAsia="仿宋" w:cs="仿宋"/>
          <w:sz w:val="32"/>
          <w:szCs w:val="32"/>
          <w:lang w:val="en-US" w:eastAsia="zh-CN"/>
        </w:rPr>
        <w:t>67.3</w:t>
      </w:r>
      <w:r>
        <w:rPr>
          <w:rFonts w:hint="eastAsia" w:ascii="仿宋" w:hAnsi="仿宋" w:eastAsia="仿宋" w:cs="仿宋"/>
          <w:sz w:val="32"/>
          <w:szCs w:val="32"/>
        </w:rPr>
        <w:t>万元、其他固定资产</w:t>
      </w:r>
      <w:r>
        <w:rPr>
          <w:rFonts w:hint="eastAsia" w:ascii="仿宋" w:hAnsi="仿宋" w:eastAsia="仿宋" w:cs="仿宋"/>
          <w:sz w:val="32"/>
          <w:szCs w:val="32"/>
          <w:lang w:val="en-US" w:eastAsia="zh-CN"/>
        </w:rPr>
        <w:t>96.37</w:t>
      </w:r>
      <w:r>
        <w:rPr>
          <w:rFonts w:hint="eastAsia" w:ascii="仿宋" w:hAnsi="仿宋" w:eastAsia="仿宋" w:cs="仿宋"/>
          <w:sz w:val="32"/>
          <w:szCs w:val="32"/>
        </w:rPr>
        <w:t>万元。固定资产增加</w:t>
      </w:r>
      <w:r>
        <w:rPr>
          <w:rFonts w:hint="eastAsia" w:ascii="仿宋" w:hAnsi="仿宋" w:eastAsia="仿宋" w:cs="仿宋"/>
          <w:sz w:val="32"/>
          <w:szCs w:val="32"/>
          <w:lang w:val="en-US" w:eastAsia="zh-CN"/>
        </w:rPr>
        <w:t>9.3</w:t>
      </w:r>
      <w:r>
        <w:rPr>
          <w:rFonts w:hint="eastAsia" w:ascii="仿宋" w:hAnsi="仿宋" w:eastAsia="仿宋" w:cs="仿宋"/>
          <w:sz w:val="32"/>
          <w:szCs w:val="32"/>
        </w:rPr>
        <w:t>万元</w:t>
      </w:r>
      <w:r>
        <w:rPr>
          <w:rFonts w:hint="eastAsia" w:ascii="仿宋" w:hAnsi="仿宋" w:eastAsia="仿宋" w:cs="仿宋"/>
          <w:sz w:val="32"/>
          <w:szCs w:val="32"/>
        </w:rPr>
        <w:t>。</w:t>
      </w:r>
    </w:p>
    <w:p>
      <w:pPr>
        <w:ind w:firstLine="640" w:firstLineChars="200"/>
        <w:outlineLvl w:val="0"/>
        <w:rPr>
          <w:rFonts w:hint="eastAsia" w:ascii="仿宋" w:hAnsi="仿宋" w:eastAsia="仿宋" w:cs="仿宋"/>
          <w:b w:val="0"/>
          <w:bCs w:val="0"/>
          <w:sz w:val="32"/>
          <w:szCs w:val="32"/>
        </w:rPr>
      </w:pPr>
      <w:r>
        <w:rPr>
          <w:rFonts w:hint="eastAsia" w:ascii="仿宋" w:hAnsi="仿宋" w:eastAsia="仿宋" w:cs="仿宋"/>
          <w:b w:val="0"/>
          <w:bCs w:val="0"/>
          <w:sz w:val="32"/>
          <w:szCs w:val="32"/>
        </w:rPr>
        <w:t>黄壁庄镇人民政府固定资产占用情况表</w:t>
      </w:r>
    </w:p>
    <w:p>
      <w:pPr>
        <w:outlineLvl w:val="0"/>
        <w:rPr>
          <w:rFonts w:hint="eastAsia" w:ascii="仿宋" w:hAnsi="仿宋" w:eastAsia="仿宋" w:cs="仿宋"/>
          <w:sz w:val="24"/>
          <w:szCs w:val="24"/>
        </w:rPr>
      </w:pPr>
      <w:r>
        <w:rPr>
          <w:rFonts w:hint="eastAsia" w:ascii="仿宋" w:hAnsi="仿宋" w:eastAsia="仿宋" w:cs="仿宋"/>
          <w:sz w:val="28"/>
          <w:szCs w:val="28"/>
        </w:rPr>
        <w:t>编制部门：石家庄市鹿泉区黄壁庄镇人民政府  截止时间：201</w:t>
      </w:r>
      <w:r>
        <w:rPr>
          <w:rFonts w:hint="eastAsia" w:ascii="仿宋" w:hAnsi="仿宋" w:eastAsia="仿宋" w:cs="仿宋"/>
          <w:sz w:val="28"/>
          <w:szCs w:val="28"/>
          <w:lang w:val="en-US" w:eastAsia="zh-CN"/>
        </w:rPr>
        <w:t>8</w:t>
      </w:r>
      <w:r>
        <w:rPr>
          <w:rFonts w:hint="eastAsia" w:ascii="仿宋" w:hAnsi="仿宋" w:eastAsia="仿宋" w:cs="仿宋"/>
          <w:sz w:val="28"/>
          <w:szCs w:val="28"/>
        </w:rPr>
        <w:t xml:space="preserve"> 年 12 月 31 日</w:t>
      </w:r>
    </w:p>
    <w:tbl>
      <w:tblPr>
        <w:tblStyle w:val="8"/>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3323"/>
        <w:gridCol w:w="3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jc w:val="center"/>
              <w:outlineLvl w:val="0"/>
              <w:rPr>
                <w:rFonts w:hint="eastAsia" w:ascii="仿宋" w:hAnsi="仿宋" w:eastAsia="仿宋" w:cs="仿宋"/>
                <w:sz w:val="28"/>
                <w:szCs w:val="28"/>
              </w:rPr>
            </w:pPr>
            <w:r>
              <w:rPr>
                <w:rFonts w:hint="eastAsia" w:ascii="仿宋" w:hAnsi="仿宋" w:eastAsia="仿宋" w:cs="仿宋"/>
                <w:sz w:val="28"/>
                <w:szCs w:val="28"/>
              </w:rPr>
              <w:t>项 目</w:t>
            </w:r>
          </w:p>
        </w:tc>
        <w:tc>
          <w:tcPr>
            <w:tcW w:w="3323" w:type="dxa"/>
            <w:noWrap w:val="0"/>
            <w:vAlign w:val="top"/>
          </w:tcPr>
          <w:p>
            <w:pPr>
              <w:jc w:val="center"/>
              <w:outlineLvl w:val="0"/>
              <w:rPr>
                <w:rFonts w:hint="eastAsia" w:ascii="仿宋" w:hAnsi="仿宋" w:eastAsia="仿宋" w:cs="仿宋"/>
                <w:sz w:val="28"/>
                <w:szCs w:val="28"/>
              </w:rPr>
            </w:pPr>
            <w:r>
              <w:rPr>
                <w:rFonts w:hint="eastAsia" w:ascii="仿宋" w:hAnsi="仿宋" w:eastAsia="仿宋" w:cs="仿宋"/>
                <w:sz w:val="28"/>
                <w:szCs w:val="28"/>
              </w:rPr>
              <w:t>数量</w:t>
            </w:r>
          </w:p>
        </w:tc>
        <w:tc>
          <w:tcPr>
            <w:tcW w:w="3323" w:type="dxa"/>
            <w:noWrap w:val="0"/>
            <w:vAlign w:val="top"/>
          </w:tcPr>
          <w:p>
            <w:pPr>
              <w:jc w:val="center"/>
              <w:outlineLvl w:val="0"/>
              <w:rPr>
                <w:rFonts w:hint="eastAsia" w:ascii="仿宋" w:hAnsi="仿宋" w:eastAsia="仿宋" w:cs="仿宋"/>
                <w:sz w:val="28"/>
                <w:szCs w:val="28"/>
              </w:rPr>
            </w:pPr>
            <w:r>
              <w:rPr>
                <w:rFonts w:hint="eastAsia" w:ascii="仿宋" w:hAnsi="仿宋" w:eastAsia="仿宋" w:cs="仿宋"/>
                <w:sz w:val="28"/>
                <w:szCs w:val="28"/>
              </w:rPr>
              <w:t>价值（金额单位：万元）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 xml:space="preserve">资产总额  </w:t>
            </w:r>
          </w:p>
        </w:tc>
        <w:tc>
          <w:tcPr>
            <w:tcW w:w="3323" w:type="dxa"/>
            <w:noWrap w:val="0"/>
            <w:vAlign w:val="top"/>
          </w:tcPr>
          <w:p>
            <w:pPr>
              <w:jc w:val="center"/>
              <w:outlineLvl w:val="0"/>
              <w:rPr>
                <w:rFonts w:hint="eastAsia" w:ascii="仿宋" w:hAnsi="仿宋" w:eastAsia="仿宋" w:cs="仿宋"/>
                <w:sz w:val="28"/>
                <w:szCs w:val="28"/>
              </w:rPr>
            </w:pPr>
            <w:r>
              <w:rPr>
                <w:rFonts w:hint="eastAsia" w:ascii="仿宋" w:hAnsi="仿宋" w:eastAsia="仿宋" w:cs="仿宋"/>
                <w:sz w:val="28"/>
                <w:szCs w:val="28"/>
              </w:rPr>
              <w:t>——</w:t>
            </w:r>
          </w:p>
        </w:tc>
        <w:tc>
          <w:tcPr>
            <w:tcW w:w="3323" w:type="dxa"/>
            <w:noWrap w:val="0"/>
            <w:vAlign w:val="top"/>
          </w:tcPr>
          <w:p>
            <w:pPr>
              <w:jc w:val="center"/>
              <w:outlineLvl w:val="0"/>
              <w:rPr>
                <w:rFonts w:hint="eastAsia" w:ascii="仿宋" w:hAnsi="仿宋" w:eastAsia="仿宋" w:cs="仿宋"/>
                <w:sz w:val="28"/>
                <w:szCs w:val="28"/>
                <w:lang w:eastAsia="zh-CN"/>
              </w:rPr>
            </w:pPr>
            <w:r>
              <w:rPr>
                <w:rFonts w:hint="eastAsia" w:ascii="仿宋" w:hAnsi="仿宋" w:eastAsia="仿宋" w:cs="仿宋"/>
                <w:sz w:val="28"/>
                <w:szCs w:val="28"/>
                <w:lang w:val="en-US" w:eastAsia="zh-CN"/>
              </w:rPr>
              <w:t>930.32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1、房屋（平方米）</w:t>
            </w:r>
          </w:p>
        </w:tc>
        <w:tc>
          <w:tcPr>
            <w:tcW w:w="3323" w:type="dxa"/>
            <w:noWrap w:val="0"/>
            <w:vAlign w:val="top"/>
          </w:tcPr>
          <w:p>
            <w:pPr>
              <w:jc w:val="center"/>
              <w:outlineLvl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7011</w:t>
            </w:r>
          </w:p>
        </w:tc>
        <w:tc>
          <w:tcPr>
            <w:tcW w:w="3323" w:type="dxa"/>
            <w:noWrap w:val="0"/>
            <w:vAlign w:val="top"/>
          </w:tcPr>
          <w:p>
            <w:pPr>
              <w:jc w:val="center"/>
              <w:outlineLvl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 xml:space="preserve">其中：办公用房（平方米）  </w:t>
            </w:r>
          </w:p>
        </w:tc>
        <w:tc>
          <w:tcPr>
            <w:tcW w:w="3323" w:type="dxa"/>
            <w:noWrap w:val="0"/>
            <w:vAlign w:val="top"/>
          </w:tcPr>
          <w:p>
            <w:pPr>
              <w:jc w:val="center"/>
              <w:outlineLvl w:val="0"/>
              <w:rPr>
                <w:rFonts w:hint="eastAsia" w:ascii="仿宋" w:hAnsi="仿宋" w:eastAsia="仿宋" w:cs="仿宋"/>
                <w:sz w:val="28"/>
                <w:szCs w:val="28"/>
              </w:rPr>
            </w:pPr>
          </w:p>
        </w:tc>
        <w:tc>
          <w:tcPr>
            <w:tcW w:w="3323" w:type="dxa"/>
            <w:noWrap w:val="0"/>
            <w:vAlign w:val="top"/>
          </w:tcPr>
          <w:p>
            <w:pPr>
              <w:jc w:val="center"/>
              <w:outlineLvl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2、车辆（台、辆）</w:t>
            </w:r>
          </w:p>
        </w:tc>
        <w:tc>
          <w:tcPr>
            <w:tcW w:w="3323" w:type="dxa"/>
            <w:noWrap w:val="0"/>
            <w:vAlign w:val="top"/>
          </w:tcPr>
          <w:p>
            <w:pPr>
              <w:jc w:val="center"/>
              <w:outlineLvl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3323" w:type="dxa"/>
            <w:noWrap w:val="0"/>
            <w:vAlign w:val="top"/>
          </w:tcPr>
          <w:p>
            <w:pPr>
              <w:jc w:val="center"/>
              <w:outlineLvl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3、单价在 20 万元以上的设备</w:t>
            </w:r>
          </w:p>
        </w:tc>
        <w:tc>
          <w:tcPr>
            <w:tcW w:w="3323" w:type="dxa"/>
            <w:noWrap w:val="0"/>
            <w:vAlign w:val="top"/>
          </w:tcPr>
          <w:p>
            <w:pPr>
              <w:jc w:val="center"/>
              <w:outlineLvl w:val="0"/>
              <w:rPr>
                <w:rFonts w:hint="eastAsia" w:ascii="仿宋" w:hAnsi="仿宋" w:eastAsia="仿宋" w:cs="仿宋"/>
                <w:sz w:val="28"/>
                <w:szCs w:val="28"/>
              </w:rPr>
            </w:pPr>
          </w:p>
        </w:tc>
        <w:tc>
          <w:tcPr>
            <w:tcW w:w="3323" w:type="dxa"/>
            <w:noWrap w:val="0"/>
            <w:vAlign w:val="top"/>
          </w:tcPr>
          <w:p>
            <w:pPr>
              <w:jc w:val="center"/>
              <w:outlineLvl w:val="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322" w:type="dxa"/>
            <w:noWrap w:val="0"/>
            <w:vAlign w:val="top"/>
          </w:tcPr>
          <w:p>
            <w:pPr>
              <w:outlineLvl w:val="0"/>
              <w:rPr>
                <w:rFonts w:hint="eastAsia" w:ascii="仿宋" w:hAnsi="仿宋" w:eastAsia="仿宋" w:cs="仿宋"/>
                <w:sz w:val="28"/>
                <w:szCs w:val="28"/>
              </w:rPr>
            </w:pPr>
            <w:r>
              <w:rPr>
                <w:rFonts w:hint="eastAsia" w:ascii="仿宋" w:hAnsi="仿宋" w:eastAsia="仿宋" w:cs="仿宋"/>
                <w:sz w:val="28"/>
                <w:szCs w:val="28"/>
              </w:rPr>
              <w:t xml:space="preserve">4、其他固定资产  </w:t>
            </w:r>
          </w:p>
        </w:tc>
        <w:tc>
          <w:tcPr>
            <w:tcW w:w="3323" w:type="dxa"/>
            <w:noWrap w:val="0"/>
            <w:vAlign w:val="top"/>
          </w:tcPr>
          <w:p>
            <w:pPr>
              <w:jc w:val="center"/>
              <w:outlineLvl w:val="0"/>
              <w:rPr>
                <w:rFonts w:hint="eastAsia" w:ascii="仿宋" w:hAnsi="仿宋" w:eastAsia="仿宋" w:cs="仿宋"/>
                <w:sz w:val="28"/>
                <w:szCs w:val="28"/>
              </w:rPr>
            </w:pPr>
            <w:r>
              <w:rPr>
                <w:rFonts w:hint="eastAsia" w:ascii="仿宋" w:hAnsi="仿宋" w:eastAsia="仿宋" w:cs="仿宋"/>
                <w:sz w:val="28"/>
                <w:szCs w:val="28"/>
              </w:rPr>
              <w:t>——</w:t>
            </w:r>
          </w:p>
        </w:tc>
        <w:tc>
          <w:tcPr>
            <w:tcW w:w="3323" w:type="dxa"/>
            <w:noWrap w:val="0"/>
            <w:vAlign w:val="top"/>
          </w:tcPr>
          <w:p>
            <w:pPr>
              <w:jc w:val="center"/>
              <w:outlineLvl w:val="0"/>
              <w:rPr>
                <w:rFonts w:hint="eastAsia" w:ascii="仿宋" w:hAnsi="仿宋" w:eastAsia="仿宋" w:cs="仿宋"/>
                <w:sz w:val="28"/>
                <w:szCs w:val="28"/>
                <w:lang w:val="en-US"/>
              </w:rPr>
            </w:pPr>
            <w:r>
              <w:rPr>
                <w:rFonts w:hint="eastAsia" w:ascii="仿宋" w:hAnsi="仿宋" w:eastAsia="仿宋" w:cs="仿宋"/>
                <w:sz w:val="28"/>
                <w:szCs w:val="28"/>
                <w:lang w:val="en-US" w:eastAsia="zh-CN"/>
              </w:rPr>
              <w:t>96.37</w:t>
            </w:r>
          </w:p>
        </w:tc>
      </w:tr>
    </w:tbl>
    <w:p>
      <w:pPr>
        <w:widowControl/>
        <w:spacing w:line="580" w:lineRule="atLeast"/>
        <w:ind w:firstLine="640"/>
        <w:jc w:val="left"/>
        <w:rPr>
          <w:rFonts w:hint="eastAsia" w:ascii="仿宋" w:hAnsi="仿宋" w:eastAsia="仿宋" w:cs="仿宋"/>
          <w:kern w:val="0"/>
          <w:sz w:val="32"/>
          <w:szCs w:val="32"/>
        </w:rPr>
      </w:pPr>
    </w:p>
    <w:p>
      <w:pPr>
        <w:pStyle w:val="19"/>
        <w:ind w:firstLine="643" w:firstLineChars="200"/>
        <w:jc w:val="both"/>
        <w:rPr>
          <w:rFonts w:hint="eastAsia" w:ascii="仿宋" w:hAnsi="仿宋" w:eastAsia="仿宋" w:cs="仿宋"/>
          <w:b/>
          <w:sz w:val="32"/>
          <w:szCs w:val="32"/>
          <w:lang w:eastAsia="zh-CN"/>
        </w:rPr>
      </w:pPr>
      <w:r>
        <w:rPr>
          <w:rFonts w:hint="eastAsia" w:ascii="仿宋" w:hAnsi="仿宋" w:eastAsia="仿宋" w:cs="仿宋"/>
          <w:b/>
          <w:sz w:val="32"/>
          <w:szCs w:val="32"/>
          <w:lang w:eastAsia="zh-CN"/>
        </w:rPr>
        <w:t>八、名词解释</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1.财政拨款收入</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财政拨款收入是指财政部门按照批复的预算核拨给单位的财政预算资金。</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2.基本支出、项目支出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基本支出是指预算单位为保障机构正常运转和完成日常工作而发生的各项支出，包括人员经费和日常公用经费。</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项目支出是指在基本支出之外完成特定行政任务和事业发展目标所发生的支出。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3.一般公共服务支出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一般公共服务支出是指反映预算单位一般公共服务的支出。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4.文化体育与传媒支出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文化体育与传媒支出是指反映预算单位在文化、文物、体育、广播影视、新闻出版等方面的支出。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5.社会保障和就业支出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社会保障和就业支出是指预算单位在社会保障和就业方面的支出。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6.机关运行经费</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机关运行经费是指为保障行政单位运行支出的人员工资和用于购买货物、服务的各项资金，包括人员经费、办公费、印刷费、邮电费、差旅费、会议费、福利费、日常维修费、专用材料及一般设备购置费、办公用房水电费、公务用车运行维护费及其他费用。</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7.“三公”经费</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“三公”经费是指因公出国（境）费、公务用车购置及运行维护费和公务接待费。</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因公出国（境）费是指单位公务出国（境）的国际旅费、国外城市间交通费、住宿费、伙食费、培训费、公杂费等支出。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公务用车购置及运行维护费是指单位购置公务用车及公务用车租用费、燃料费、维修费、路桥费、保险费等支出。</w:t>
      </w:r>
    </w:p>
    <w:p>
      <w:pPr>
        <w:spacing w:line="360" w:lineRule="auto"/>
        <w:ind w:firstLine="720"/>
        <w:rPr>
          <w:rFonts w:hint="eastAsia" w:ascii="仿宋" w:hAnsi="仿宋" w:eastAsia="仿宋" w:cs="仿宋"/>
          <w:b w:val="0"/>
          <w:bCs/>
          <w:sz w:val="32"/>
          <w:szCs w:val="32"/>
        </w:rPr>
      </w:pPr>
      <w:r>
        <w:rPr>
          <w:rFonts w:hint="eastAsia" w:ascii="仿宋" w:hAnsi="仿宋" w:eastAsia="仿宋" w:cs="仿宋"/>
          <w:b w:val="0"/>
          <w:bCs/>
          <w:sz w:val="32"/>
          <w:szCs w:val="32"/>
        </w:rPr>
        <w:t>公务接待费是指单位按规定开支的各类公务接待（含外宾接待）费用。</w:t>
      </w:r>
      <w:bookmarkStart w:id="4" w:name="_GoBack"/>
      <w:bookmarkEnd w:id="4"/>
    </w:p>
    <w:p>
      <w:pPr>
        <w:pStyle w:val="19"/>
        <w:spacing w:line="360" w:lineRule="auto"/>
        <w:ind w:firstLine="479" w:firstLineChars="149"/>
        <w:rPr>
          <w:rFonts w:hint="eastAsia" w:ascii="仿宋" w:hAnsi="仿宋" w:eastAsia="仿宋" w:cs="仿宋"/>
          <w:b/>
          <w:sz w:val="32"/>
          <w:szCs w:val="32"/>
          <w:lang w:eastAsia="zh-CN"/>
        </w:rPr>
      </w:pPr>
      <w:r>
        <w:rPr>
          <w:rFonts w:hint="eastAsia" w:ascii="仿宋" w:hAnsi="仿宋" w:eastAsia="仿宋" w:cs="仿宋"/>
          <w:b/>
          <w:sz w:val="32"/>
          <w:szCs w:val="32"/>
          <w:lang w:eastAsia="zh-CN"/>
        </w:rPr>
        <w:t>九、其他重要事项情况说明</w:t>
      </w:r>
    </w:p>
    <w:p>
      <w:pPr>
        <w:spacing w:line="360" w:lineRule="auto"/>
        <w:ind w:firstLine="640" w:firstLineChars="200"/>
        <w:jc w:val="left"/>
        <w:textAlignment w:val="center"/>
        <w:rPr>
          <w:rFonts w:hint="eastAsia" w:ascii="仿宋" w:hAnsi="仿宋" w:eastAsia="仿宋" w:cs="仿宋"/>
          <w:color w:val="000000"/>
          <w:kern w:val="0"/>
          <w:sz w:val="32"/>
          <w:szCs w:val="32"/>
          <w:lang w:bidi="ar"/>
        </w:rPr>
        <w:sectPr>
          <w:pgSz w:w="11906" w:h="16838"/>
          <w:pgMar w:top="1440" w:right="1077" w:bottom="1440" w:left="1077" w:header="851" w:footer="992" w:gutter="0"/>
          <w:cols w:space="720" w:num="1"/>
          <w:docGrid w:type="lines" w:linePitch="312" w:charSpace="0"/>
        </w:sectPr>
      </w:pPr>
      <w:r>
        <w:rPr>
          <w:rFonts w:hint="eastAsia" w:ascii="仿宋" w:hAnsi="仿宋" w:eastAsia="仿宋" w:cs="仿宋"/>
          <w:sz w:val="32"/>
          <w:szCs w:val="32"/>
        </w:rPr>
        <w:t>我单位无国有资本经营预算财政拨款支出</w:t>
      </w:r>
      <w:r>
        <w:rPr>
          <w:rFonts w:hint="eastAsia" w:ascii="仿宋" w:hAnsi="仿宋" w:eastAsia="仿宋" w:cs="仿宋"/>
          <w:color w:val="000000"/>
          <w:kern w:val="0"/>
          <w:sz w:val="32"/>
          <w:szCs w:val="32"/>
          <w:lang w:bidi="ar"/>
        </w:rPr>
        <w:t>。</w:t>
      </w:r>
    </w:p>
    <w:p>
      <w:pPr>
        <w:ind w:firstLine="640" w:firstLineChars="200"/>
        <w:rPr>
          <w:rFonts w:hint="eastAsia" w:ascii="仿宋" w:hAnsi="仿宋" w:eastAsia="仿宋" w:cs="仿宋"/>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楷体_GBK">
    <w:altName w:val="宋体"/>
    <w:panose1 w:val="00000000000000000000"/>
    <w:charset w:val="86"/>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rPr>
          <w:rFonts w:hint="eastAsia"/>
        </w:rPr>
      </w:pPr>
      <w:r>
        <w:rPr>
          <w:rStyle w:val="12"/>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BDA3C8"/>
    <w:multiLevelType w:val="singleLevel"/>
    <w:tmpl w:val="5ABDA3C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4504449"/>
    <w:rsid w:val="081B0B14"/>
    <w:rsid w:val="10F756E3"/>
    <w:rsid w:val="1B22692D"/>
    <w:rsid w:val="1F757741"/>
    <w:rsid w:val="36801CC7"/>
    <w:rsid w:val="44AF67AF"/>
    <w:rsid w:val="4A2F25F9"/>
    <w:rsid w:val="4D4F747A"/>
    <w:rsid w:val="4F3B73A9"/>
    <w:rsid w:val="4F5A497C"/>
    <w:rsid w:val="4FEB6D31"/>
    <w:rsid w:val="50172DCB"/>
    <w:rsid w:val="5A6B2C2F"/>
    <w:rsid w:val="61766961"/>
    <w:rsid w:val="69964908"/>
    <w:rsid w:val="6D894D7D"/>
    <w:rsid w:val="74540248"/>
    <w:rsid w:val="771F2197"/>
    <w:rsid w:val="778F0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uiPriority w:val="99"/>
    <w:rPr>
      <w:sz w:val="18"/>
      <w:szCs w:val="18"/>
    </w:rPr>
  </w:style>
  <w:style w:type="paragraph" w:styleId="3">
    <w:name w:val="footer"/>
    <w:basedOn w:val="1"/>
    <w:link w:val="14"/>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uiPriority w:val="39"/>
    <w:pPr>
      <w:ind w:left="420" w:leftChars="200"/>
    </w:pPr>
    <w:rPr>
      <w:rFonts w:ascii="Times New Roman" w:hAnsi="Times New Roman" w:eastAsia="宋体" w:cs="Times New Roman"/>
      <w:szCs w:val="24"/>
    </w:rPr>
  </w:style>
  <w:style w:type="character" w:styleId="10">
    <w:name w:val="page number"/>
    <w:unhideWhenUsed/>
    <w:uiPriority w:val="99"/>
  </w:style>
  <w:style w:type="character" w:styleId="11">
    <w:name w:val="Hyperlink"/>
    <w:unhideWhenUsed/>
    <w:qFormat/>
    <w:uiPriority w:val="99"/>
    <w:rPr>
      <w:color w:val="0000FF"/>
      <w:u w:val="single"/>
    </w:rPr>
  </w:style>
  <w:style w:type="character" w:styleId="12">
    <w:name w:val="footnote reference"/>
    <w:unhideWhenUsed/>
    <w:uiPriority w:val="99"/>
    <w:rPr>
      <w:vertAlign w:val="superscript"/>
    </w:rPr>
  </w:style>
  <w:style w:type="character" w:customStyle="1" w:styleId="13">
    <w:name w:val="页眉 Char"/>
    <w:basedOn w:val="9"/>
    <w:link w:val="4"/>
    <w:uiPriority w:val="99"/>
    <w:rPr>
      <w:rFonts w:ascii="Times New Roman" w:hAnsi="Times New Roman" w:eastAsia="宋体" w:cs="Times New Roman"/>
      <w:sz w:val="18"/>
      <w:szCs w:val="18"/>
    </w:rPr>
  </w:style>
  <w:style w:type="character" w:customStyle="1" w:styleId="14">
    <w:name w:val="页脚 Char"/>
    <w:basedOn w:val="9"/>
    <w:link w:val="3"/>
    <w:uiPriority w:val="99"/>
    <w:rPr>
      <w:rFonts w:ascii="Times New Roman" w:hAnsi="Times New Roman" w:eastAsia="宋体" w:cs="Times New Roman"/>
      <w:sz w:val="18"/>
      <w:szCs w:val="18"/>
    </w:rPr>
  </w:style>
  <w:style w:type="character" w:customStyle="1" w:styleId="15">
    <w:name w:val="批注框文本 Char"/>
    <w:basedOn w:val="9"/>
    <w:link w:val="2"/>
    <w:semiHidden/>
    <w:uiPriority w:val="99"/>
    <w:rPr>
      <w:sz w:val="18"/>
      <w:szCs w:val="18"/>
    </w:rPr>
  </w:style>
  <w:style w:type="paragraph" w:customStyle="1" w:styleId="16">
    <w:name w:val="Defaul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9"/>
    <w:link w:val="6"/>
    <w:semiHidden/>
    <w:qFormat/>
    <w:uiPriority w:val="99"/>
    <w:rPr>
      <w:rFonts w:ascii="Calibri" w:hAnsi="Calibri" w:eastAsia="宋体" w:cs="Times New Roman"/>
      <w:sz w:val="18"/>
      <w:szCs w:val="18"/>
    </w:rPr>
  </w:style>
  <w:style w:type="paragraph" w:customStyle="1" w:styleId="18">
    <w:name w:val="列出段落"/>
    <w:basedOn w:val="1"/>
    <w:qFormat/>
    <w:uiPriority w:val="34"/>
    <w:pPr>
      <w:ind w:firstLine="420" w:firstLineChars="200"/>
    </w:pPr>
  </w:style>
  <w:style w:type="paragraph" w:customStyle="1" w:styleId="19">
    <w:name w:val="[Normal]"/>
    <w:qFormat/>
    <w:uiPriority w:val="0"/>
    <w:rPr>
      <w:rFonts w:ascii="宋体" w:hAnsi="Times New Roman" w:eastAsia="宋体" w:cs="Times New Roman"/>
      <w:sz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6</TotalTime>
  <ScaleCrop>false</ScaleCrop>
  <LinksUpToDate>false</LinksUpToDate>
  <CharactersWithSpaces>20505</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可是。没有可是</cp:lastModifiedBy>
  <cp:lastPrinted>2017-11-09T01:12:00Z</cp:lastPrinted>
  <dcterms:modified xsi:type="dcterms:W3CDTF">2019-03-04T02:57:20Z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